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159"/>
      </w:tblGrid>
      <w:tr w:rsidR="00107B4A" w:rsidRPr="00AF5CD6" w14:paraId="4D00D55A" w14:textId="77777777" w:rsidTr="39DCFF2A">
        <w:trPr>
          <w:trHeight w:val="1186"/>
        </w:trPr>
        <w:tc>
          <w:tcPr>
            <w:tcW w:w="14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6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9F669" w14:textId="68E7EB38" w:rsidR="00107B4A" w:rsidRPr="00AF5CD6" w:rsidRDefault="00107B4A" w:rsidP="00107B4A">
            <w:pPr>
              <w:jc w:val="center"/>
              <w:rPr>
                <w:rFonts w:ascii="Times" w:hAnsi="Times" w:cs="Times"/>
                <w:b/>
                <w:bCs/>
              </w:rPr>
            </w:pPr>
            <w:bookmarkStart w:id="0" w:name="_Hlk185797601"/>
            <w:r w:rsidRPr="00AF5CD6">
              <w:rPr>
                <w:rFonts w:ascii="Times" w:hAnsi="Times" w:cs="Times"/>
                <w:b/>
                <w:bCs/>
              </w:rPr>
              <w:t>Tabela uwag do rozporządzenia ministra spraw wewnętrznych i administracji</w:t>
            </w:r>
          </w:p>
          <w:p w14:paraId="2E2B44F2" w14:textId="64A7BF9B" w:rsidR="00107B4A" w:rsidRPr="00AF5CD6" w:rsidRDefault="00107B4A" w:rsidP="00107B4A">
            <w:pPr>
              <w:jc w:val="center"/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 xml:space="preserve"> w sprawie kryteriów uznawania obiektów budowlanych albo ich części za budowle ochronne - projekt z dnia 17 grudnia 2024 r.</w:t>
            </w:r>
            <w:bookmarkEnd w:id="0"/>
          </w:p>
        </w:tc>
      </w:tr>
      <w:tr w:rsidR="00B865D3" w:rsidRPr="00AF5CD6" w14:paraId="3B71B5DB" w14:textId="77777777" w:rsidTr="39DCFF2A">
        <w:trPr>
          <w:trHeight w:val="1186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6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EA642" w14:textId="77777777" w:rsidR="00B865D3" w:rsidRPr="00AF5CD6" w:rsidRDefault="00B865D3" w:rsidP="004417E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Jednostka redakcyjna,</w:t>
            </w:r>
          </w:p>
          <w:p w14:paraId="438D1E66" w14:textId="77777777" w:rsidR="00B865D3" w:rsidRPr="00AF5CD6" w:rsidRDefault="00B865D3" w:rsidP="004417E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do której wnoszone są uwagi</w:t>
            </w:r>
          </w:p>
        </w:tc>
        <w:tc>
          <w:tcPr>
            <w:tcW w:w="1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6E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40287" w14:textId="77777777" w:rsidR="00B865D3" w:rsidRPr="00AF5CD6" w:rsidRDefault="00B865D3" w:rsidP="004417E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Treść uwagi i uzasadnienie oraz propozycja zmian</w:t>
            </w:r>
          </w:p>
        </w:tc>
      </w:tr>
      <w:tr w:rsidR="00B865D3" w:rsidRPr="00AF5CD6" w14:paraId="03DCE93A" w14:textId="77777777" w:rsidTr="39DCFF2A">
        <w:trPr>
          <w:trHeight w:val="25"/>
        </w:trPr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CAED6" w14:textId="4AE7CA6D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§ 2 ust. 2 pkt 6.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5A9AE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</w:p>
          <w:p w14:paraId="78BD2ECF" w14:textId="7D15ED18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br/>
              <w:t>nadciśnieniem powietrznej fali uderzeniowej padającej oraz falą uderzeniową rozchodzącą się w gruncie,</w:t>
            </w:r>
          </w:p>
          <w:p w14:paraId="122DDB12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417049FC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  <w:r w:rsidRPr="00AF5CD6">
              <w:rPr>
                <w:rFonts w:ascii="Times" w:hAnsi="Times" w:cs="Times"/>
                <w:b/>
                <w:bCs/>
              </w:rPr>
              <w:br/>
            </w:r>
          </w:p>
          <w:p w14:paraId="3BB8DA36" w14:textId="22BDB22A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skutkami oddziaływania obciążenia wybuchem, w szczególności powietrzną falą padającą i odbitą a także kombinacją fal uderzeniowych rozchodzących się w ośrodku gruntowym lub wodnym w przypadku budowli posadowionych w wodzie lub gruncie nawodnionym,</w:t>
            </w:r>
          </w:p>
          <w:p w14:paraId="793DE45D" w14:textId="10976691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br/>
            </w:r>
          </w:p>
          <w:p w14:paraId="75F8DB59" w14:textId="77777777" w:rsidR="007440A7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Uzasadnienie:</w:t>
            </w:r>
            <w:r w:rsidRPr="00AF5CD6">
              <w:rPr>
                <w:rFonts w:ascii="Times" w:hAnsi="Times" w:cs="Times"/>
              </w:rPr>
              <w:t xml:space="preserve"> </w:t>
            </w:r>
          </w:p>
          <w:p w14:paraId="18BDCACC" w14:textId="4419AB68" w:rsidR="007440A7" w:rsidRPr="00AF5CD6" w:rsidRDefault="007440A7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Fala uderzeniowa jest sformułowaniem rozbieżnym z powszechnie stosowanymi sformułowaniami w międzynarodowych gremiach naukowych oraz inżynieryjnych w trakcie prowadzenia obliczeń konstrukcyjnych. W tym przypadku należy operować sformułowaniami fala padająca lub fala odbita. Zapobiega to niedomówieniom często powstającym podczas procesu projektowego.</w:t>
            </w:r>
          </w:p>
          <w:p w14:paraId="4A6E776C" w14:textId="6703D2E0" w:rsidR="007A63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Dotychczasowy zapis wymaga doprecyzowania, ponieważ oprócz fali padającej należy uwzględnić również falę odbitą, która ma istotny wpływ na obciążenia dynamiczne. Fala uderzeniowa może rozprzestrzeniać się zarówno w ośrodku powietrznym, gruntowym, jak i wodnym. </w:t>
            </w:r>
            <w:r w:rsidR="007A63D3" w:rsidRPr="00AF5CD6">
              <w:rPr>
                <w:rFonts w:ascii="Times" w:hAnsi="Times" w:cs="Times"/>
              </w:rPr>
              <w:br/>
            </w:r>
          </w:p>
          <w:p w14:paraId="310B0DD1" w14:textId="0CC70744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Ośrodek wodny przyjmuje się obliczeniowo w przypadku budowli ochronnych posadowionych w gruntach nawodnionych, jak również w budowlach ochronnych zlokalizowanych w bezpośrednim sąsiedztwie zbiorników wodnych (istnieją w Polsce budowle ochronne w konstrukcjach pochylni stoczniowych i nabrzeży technicznych, których część fundamentowa ma kontakt hydrauliczny z wodą).</w:t>
            </w:r>
          </w:p>
          <w:p w14:paraId="43A2404D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49E2261C" w14:textId="391DCA36" w:rsidR="00B865D3" w:rsidRPr="00AF5CD6" w:rsidRDefault="00B865D3" w:rsidP="00213F98">
            <w:pPr>
              <w:rPr>
                <w:rFonts w:ascii="Times" w:hAnsi="Times" w:cs="Times"/>
              </w:rPr>
            </w:pPr>
          </w:p>
        </w:tc>
      </w:tr>
      <w:tr w:rsidR="00B865D3" w:rsidRPr="00AF5CD6" w14:paraId="1BE0EB09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995DF" w14:textId="200742B6" w:rsidR="00B865D3" w:rsidRPr="00AF5CD6" w:rsidRDefault="00B865D3" w:rsidP="00B865D3">
            <w:pPr>
              <w:rPr>
                <w:rFonts w:ascii="Times" w:hAnsi="Times" w:cs="Times"/>
                <w:lang w:val="en-US"/>
              </w:rPr>
            </w:pPr>
          </w:p>
          <w:p w14:paraId="3E8A21F8" w14:textId="47800B98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§3 ust. 3 pkt 1 lit. a-b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B0598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</w:p>
          <w:p w14:paraId="23E09CA5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4AB4C4E5" w14:textId="460D21DB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a) do dwóch kondygnacji nadziemnych – co najmniej 10 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/m²,</w:t>
            </w:r>
            <w:r w:rsidRPr="00AF5CD6">
              <w:rPr>
                <w:rFonts w:ascii="Times" w:hAnsi="Times" w:cs="Times"/>
              </w:rPr>
              <w:br/>
              <w:t xml:space="preserve">b) posiadających więcej niż dwie kondygnacje nadziemne – co najmniej 15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 xml:space="preserve">/m² w przypadku budynków o trzech kondygnacjach nadziemnych, którą w przypadku liczby kondygnacji nadziemnych większej niż trzy powiększa się o wartość 5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/m² na każdą kondygnację powyżej trzeciej kondygnacji nadziemnej;</w:t>
            </w:r>
          </w:p>
          <w:p w14:paraId="2443A6F3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0F530ABD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</w:p>
          <w:p w14:paraId="7BC1C6C6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13A158A4" w14:textId="2D9CB1C1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a) do dwóch kondygnacji nadziemnych włącznie – co najmniej 10 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/m²,</w:t>
            </w:r>
          </w:p>
          <w:p w14:paraId="7DAF1101" w14:textId="00C542E3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</w:rPr>
              <w:t>b) w przypadku liczby kondygnacji nadziemnych większej niż dwie – 10 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 xml:space="preserve">/m² powiększone o wartość co najmniej 5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/m²na każdą kondygnację powyżej drugiej kondygnacji nadziemnej;</w:t>
            </w: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  <w:b/>
                <w:bCs/>
              </w:rPr>
              <w:t>Uzasadnienie:</w:t>
            </w:r>
          </w:p>
          <w:p w14:paraId="466348AF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5445FBFD" w14:textId="17FDB345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Doprecyzowanie i uproszczenie zapisu przy zachowaniu podanych wartości obciążeń.</w:t>
            </w:r>
          </w:p>
        </w:tc>
      </w:tr>
      <w:tr w:rsidR="00B865D3" w:rsidRPr="00AF5CD6" w14:paraId="71EF1670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64AE3" w14:textId="265624FA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§3 ust. 3 pkt 2 lit. a-b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E5548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  <w:r w:rsidRPr="00AF5CD6">
              <w:rPr>
                <w:rFonts w:ascii="Times" w:hAnsi="Times" w:cs="Times"/>
                <w:b/>
                <w:bCs/>
              </w:rPr>
              <w:br/>
            </w:r>
          </w:p>
          <w:p w14:paraId="29CD5DB0" w14:textId="0728FF17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a) do dwóch kondygnacji nadziemnych – co najmniej 10 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/m²,</w:t>
            </w:r>
          </w:p>
          <w:p w14:paraId="4AFA9413" w14:textId="394A015F" w:rsidR="00B865D3" w:rsidRPr="00AF5CD6" w:rsidRDefault="00B865D3" w:rsidP="00213F98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 xml:space="preserve">b) posiadających więcej niż dwie kondygnacje nadziemne – co najmniej 12,5 </w:t>
            </w:r>
            <w:proofErr w:type="spellStart"/>
            <w:r w:rsidRPr="39DCFF2A">
              <w:rPr>
                <w:rFonts w:ascii="Times" w:hAnsi="Times" w:cs="Times"/>
              </w:rPr>
              <w:t>kN</w:t>
            </w:r>
            <w:proofErr w:type="spellEnd"/>
            <w:r w:rsidRPr="39DCFF2A">
              <w:rPr>
                <w:rFonts w:ascii="Times" w:hAnsi="Times" w:cs="Times"/>
              </w:rPr>
              <w:t xml:space="preserve">/m² w przypadku budynków o trzech kondygnacjach nadziemnych, którą w przypadku liczby kondygnacji nadziemnych większej niż trzy powiększa się o wartość 2,5 </w:t>
            </w:r>
            <w:proofErr w:type="spellStart"/>
            <w:r w:rsidRPr="39DCFF2A">
              <w:rPr>
                <w:rFonts w:ascii="Times" w:hAnsi="Times" w:cs="Times"/>
              </w:rPr>
              <w:t>kN</w:t>
            </w:r>
            <w:proofErr w:type="spellEnd"/>
            <w:r w:rsidRPr="39DCFF2A">
              <w:rPr>
                <w:rFonts w:ascii="Times" w:hAnsi="Times" w:cs="Times"/>
              </w:rPr>
              <w:t>/m² na każdą kondygnację powyżej trzeciej kondygnacji nadziemnej.</w:t>
            </w:r>
          </w:p>
          <w:p w14:paraId="7520C41E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362E048E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  <w:r w:rsidRPr="00AF5CD6">
              <w:rPr>
                <w:rFonts w:ascii="Times" w:hAnsi="Times" w:cs="Times"/>
                <w:b/>
                <w:bCs/>
              </w:rPr>
              <w:br/>
            </w:r>
          </w:p>
          <w:p w14:paraId="1E719367" w14:textId="769051EE" w:rsidR="00B865D3" w:rsidRPr="00AF5CD6" w:rsidRDefault="00B865D3" w:rsidP="009A2C1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a) do dwóch kondygnacji nadziemnych włącznie – co najmniej 10 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/m²,</w:t>
            </w:r>
          </w:p>
          <w:p w14:paraId="2900E6F1" w14:textId="77777777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b) </w:t>
            </w:r>
            <w:bookmarkStart w:id="1" w:name="_Hlk185703792"/>
            <w:r w:rsidRPr="00AF5CD6">
              <w:rPr>
                <w:rFonts w:ascii="Times" w:hAnsi="Times" w:cs="Times"/>
              </w:rPr>
              <w:t xml:space="preserve">w przypadku liczby kondygnacji nadziemnych większej niż dwie – 10 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 xml:space="preserve">/m² powiększone o wartość 2,5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/m² na każdą kondygnację powyżej drugiej kondygnacji nadziemnej.</w:t>
            </w:r>
            <w:bookmarkEnd w:id="1"/>
          </w:p>
          <w:p w14:paraId="34C78DE0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  <w:b/>
                <w:bCs/>
              </w:rPr>
              <w:t>Uzasadnienie:</w:t>
            </w:r>
          </w:p>
          <w:p w14:paraId="5FC3B477" w14:textId="3EBD9B33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Doprecyzowanie i uproszczenie zapisu przy zachowaniu podanych wartości obciążeń.</w:t>
            </w:r>
          </w:p>
        </w:tc>
      </w:tr>
      <w:tr w:rsidR="00B865D3" w:rsidRPr="00AF5CD6" w14:paraId="08FE43C3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D6D29" w14:textId="4BABA4E5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lastRenderedPageBreak/>
              <w:t>§3 ust. 4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7FA0B" w14:textId="15D17391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  <w:r w:rsidRPr="00AF5CD6">
              <w:rPr>
                <w:rFonts w:ascii="Times" w:hAnsi="Times" w:cs="Times"/>
              </w:rPr>
              <w:br/>
              <w:t>Funkcję ochronną przed promieniowaniem przenikliwym gamma z opadu radioaktywnego uznaje się za spełnioną, gdy konstrukcja budowli oraz uwarunkowania lokalne wynikające z jej usytuowania zapewniają krotność osłabienia promieniowania przenikliwego gamma o wartości co najmniej 100.</w:t>
            </w:r>
          </w:p>
          <w:p w14:paraId="2206B911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0DB86CB2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</w:p>
          <w:p w14:paraId="2C11DFD9" w14:textId="3B8D557E" w:rsidR="00B865D3" w:rsidRPr="00AF5CD6" w:rsidRDefault="00B865D3" w:rsidP="008A3125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>Funkcję ochronną przed promieniowaniem przenikliwym gamma z opadu radioaktywnego uznaje się za spełnioną, gdy konstrukcja budowli oraz uwarunkowania lokalne wynikające z jej usytuowania zapewniają krotność osłabienia promieniowania przenikliwego gamma o wartości co najmniej 100, przy</w:t>
            </w:r>
            <w:r w:rsidR="355AA64C" w:rsidRPr="39DCFF2A">
              <w:rPr>
                <w:rFonts w:ascii="Times" w:hAnsi="Times" w:cs="Times"/>
              </w:rPr>
              <w:t xml:space="preserve"> </w:t>
            </w:r>
            <w:r w:rsidRPr="39DCFF2A">
              <w:rPr>
                <w:rFonts w:ascii="Times" w:hAnsi="Times" w:cs="Times"/>
              </w:rPr>
              <w:t>założeniu że:</w:t>
            </w:r>
          </w:p>
          <w:p w14:paraId="44C54FB0" w14:textId="562FF609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a) współczynnik ten zapewniają osłony o grubości co najmniej:</w:t>
            </w:r>
          </w:p>
          <w:p w14:paraId="608EF431" w14:textId="77777777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1) grunt naturalny lub nasypowy piaszczysty, żwir lub kamiennie: 60 cm;</w:t>
            </w:r>
          </w:p>
          <w:p w14:paraId="673AF329" w14:textId="77777777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2) mur z cegły pełnej na zaprawie cementowej: 51 cm;</w:t>
            </w:r>
          </w:p>
          <w:p w14:paraId="5B8F534B" w14:textId="42EF4083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3) mur z bloczków silikatowych pełnych: 48 cm;</w:t>
            </w:r>
          </w:p>
          <w:p w14:paraId="247B5790" w14:textId="77777777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4) beton lub żelbet: 40 cm;</w:t>
            </w:r>
          </w:p>
          <w:p w14:paraId="2ADAF7B2" w14:textId="77777777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5) stal: 12 cm;</w:t>
            </w:r>
          </w:p>
          <w:p w14:paraId="2D5D2CF9" w14:textId="40F9D0EA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6) ołów: 5,2 cm.</w:t>
            </w:r>
          </w:p>
          <w:p w14:paraId="422A9458" w14:textId="6A747F13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b) każde załamanie drogi promieniowania przenikliwego pod kątem prostym osłabia promieniowanie dziesięciokrotnie;</w:t>
            </w:r>
          </w:p>
          <w:p w14:paraId="6A9326F8" w14:textId="2134DC61" w:rsidR="00B865D3" w:rsidRPr="00AF5CD6" w:rsidRDefault="00B865D3" w:rsidP="008A3125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>c) w przypadku ochrony wejść, wyjść zapasowych i innych otworów zewnętrznych współczynnik K ≥ 100 zapewniają dwa załamania pod kątem prostym drogi prowadzącej do wnętrza obiektu lub jedno załamanie pod kątem prostym przy zastosowaniu dodatkowych osłon (drzwi, włazów) zapewniających łącznie współczynnik K ≥ 10;</w:t>
            </w:r>
          </w:p>
          <w:p w14:paraId="5EEABFD3" w14:textId="77777777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d) współczynnik K ≥ 10 zapewniają osłony o grubości stanowiącej 1/2 grubości podanych w punkcie a.</w:t>
            </w: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  <w:b/>
                <w:bCs/>
              </w:rPr>
              <w:t>Uzasadnienie:</w:t>
            </w:r>
          </w:p>
          <w:p w14:paraId="7B01A405" w14:textId="7DF4543B" w:rsidR="00B865D3" w:rsidRPr="00AF5CD6" w:rsidRDefault="00B865D3" w:rsidP="008A3125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Doprecyzowanie przepisu poprzez wskazanie minimalnych grubości osłon oraz umożliwienie oceny zabezpieczenia wejść, wyjść zapasowych i innych otworów zewnętrznych</w:t>
            </w:r>
            <w:r w:rsidR="007440A7" w:rsidRPr="00AF5CD6">
              <w:rPr>
                <w:rFonts w:ascii="Times" w:hAnsi="Times" w:cs="Times"/>
              </w:rPr>
              <w:t>, w celu wskazania kryteriów oceny przydatności istniejących obiektów.</w:t>
            </w:r>
          </w:p>
        </w:tc>
      </w:tr>
      <w:tr w:rsidR="00B865D3" w:rsidRPr="00AF5CD6" w14:paraId="64FCCE32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D3344" w14:textId="37770564" w:rsidR="00B865D3" w:rsidRPr="00AF5CD6" w:rsidRDefault="00B865D3" w:rsidP="00213F98">
            <w:pPr>
              <w:rPr>
                <w:rFonts w:ascii="Times" w:hAnsi="Times" w:cs="Times"/>
                <w:lang w:val="en-US"/>
              </w:rPr>
            </w:pPr>
            <w:r w:rsidRPr="00AF5CD6">
              <w:rPr>
                <w:rFonts w:ascii="Times" w:hAnsi="Times" w:cs="Times"/>
              </w:rPr>
              <w:t>§3 ust. 5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29CDD" w14:textId="2E9E26C3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  <w:r w:rsidRPr="00AF5CD6">
              <w:rPr>
                <w:rFonts w:ascii="Times" w:hAnsi="Times" w:cs="Times"/>
              </w:rPr>
              <w:br/>
              <w:t>5. Funkcję ochronną przed długotrwałym oddziaływaniem zewnętrznym pożaru na budowlę ochronną uznaje się za spełnioną, gdy zewnętrzne elementy konstrukcji budowli oraz występujące w niej zamknięcia i inne zabezpieczenia otworów:</w:t>
            </w:r>
          </w:p>
          <w:p w14:paraId="5358937D" w14:textId="77777777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1) mają odporność ogniową i dymoszczelność zabezpieczające przed skutkami oddziaływania pożaru przez czas co najmniej 120 minut przy oddziaływaniu pożaru określonym w odniesieniu do krzywej pożaru standardowego;</w:t>
            </w:r>
          </w:p>
          <w:p w14:paraId="37164026" w14:textId="468498BB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2) zabezpieczają wnętrze budowli ochronnej przed wystąpieniem warunków środowiskowych zagrażających zdrowiu i życiu ludzi przez czas co najmniej 360 minut przy oddziaływaniu pożaru o temperaturze 400 ºC.</w:t>
            </w:r>
          </w:p>
          <w:p w14:paraId="2153E337" w14:textId="77777777" w:rsidR="00B865D3" w:rsidRPr="00AF5CD6" w:rsidRDefault="00B865D3" w:rsidP="006D0A04">
            <w:pPr>
              <w:rPr>
                <w:rFonts w:ascii="Times" w:hAnsi="Times" w:cs="Times"/>
              </w:rPr>
            </w:pPr>
          </w:p>
          <w:p w14:paraId="7F15C1A2" w14:textId="64219A77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lastRenderedPageBreak/>
              <w:t>Proponowany zapis:</w:t>
            </w:r>
            <w:r w:rsidRPr="00AF5CD6">
              <w:rPr>
                <w:rFonts w:ascii="Times" w:hAnsi="Times" w:cs="Times"/>
              </w:rPr>
              <w:br/>
              <w:t>Funkcję ochronną przed długotrwałym oddziaływaniem zewnętrznym pożaru na budowlę ochronną uznaje się za spełnioną, gdy:</w:t>
            </w:r>
          </w:p>
          <w:p w14:paraId="00B26A94" w14:textId="73BC0107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a) klasa odporności ogniowej głównej konstrukcji nośnej wynosi co najmniej R120;</w:t>
            </w:r>
          </w:p>
          <w:p w14:paraId="57AF53A8" w14:textId="77777777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b) kanały czerpalne i wyrzutowe powietrza na linii hermetyzacji zostały zabezpieczone:</w:t>
            </w:r>
          </w:p>
          <w:p w14:paraId="7C292E18" w14:textId="77777777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1) zaworami gazoszczelnymi lub</w:t>
            </w:r>
          </w:p>
          <w:p w14:paraId="52DA40C2" w14:textId="6C439A23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2) wywiewnymi klapami schronowymi z funkcją hermetyzacji, lub;</w:t>
            </w:r>
          </w:p>
          <w:p w14:paraId="19F33E00" w14:textId="758E1BE8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3) komorami rozprężnymi z filtrem kamiennym, lub.</w:t>
            </w:r>
          </w:p>
          <w:p w14:paraId="239E5294" w14:textId="6BD4E7A8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4) klapami ppoż. w klasie co najmniej EI90;</w:t>
            </w:r>
          </w:p>
          <w:p w14:paraId="0BD2C3AC" w14:textId="5259BE82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c) drzwi zewnętrzne lub drzwi wewnętrzne przedsionka którego ściany wykonano klasie REI120 mają odporność ogniową i dymoszczelność  co najmniej w klasie EI120 i klasę dymoszczelności co najmniej S200;</w:t>
            </w:r>
          </w:p>
          <w:p w14:paraId="36D51D0E" w14:textId="1A82D7EE" w:rsidR="00B865D3" w:rsidRPr="00AF5CD6" w:rsidRDefault="00B865D3" w:rsidP="006D0A0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d) W przypadku jeżeli przedsionek prowadzący do schronu jest wyposażony w drzwi zewnętrzne i wewnętrzne typu ochronno-hermetycznego z blachy stalowej o grubości ≥ </w:t>
            </w:r>
            <w:r w:rsidR="00B95E99" w:rsidRPr="00AF5CD6">
              <w:rPr>
                <w:rFonts w:ascii="Times" w:hAnsi="Times" w:cs="Times"/>
              </w:rPr>
              <w:t>6</w:t>
            </w:r>
            <w:r w:rsidRPr="00AF5CD6">
              <w:rPr>
                <w:rFonts w:ascii="Times" w:hAnsi="Times" w:cs="Times"/>
              </w:rPr>
              <w:t xml:space="preserve"> mm, nie jest wymagane stosowanie dodatkowych drzwi przeciwpożarowych.</w:t>
            </w:r>
          </w:p>
          <w:p w14:paraId="2BEFDAB2" w14:textId="77777777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br/>
              <w:t>Uzasadnienie:</w:t>
            </w:r>
          </w:p>
          <w:p w14:paraId="07605113" w14:textId="0C846141" w:rsidR="007440A7" w:rsidRPr="00AF5CD6" w:rsidRDefault="003C264E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Najwyższa klasa odporności ogniowej </w:t>
            </w:r>
            <w:r w:rsidR="007440A7" w:rsidRPr="00AF5CD6">
              <w:rPr>
                <w:rFonts w:ascii="Times" w:hAnsi="Times" w:cs="Times"/>
              </w:rPr>
              <w:t>elementów wyposaż</w:t>
            </w:r>
            <w:r w:rsidR="00EC7BA8" w:rsidRPr="00AF5CD6">
              <w:rPr>
                <w:rFonts w:ascii="Times" w:hAnsi="Times" w:cs="Times"/>
              </w:rPr>
              <w:t>e</w:t>
            </w:r>
            <w:r w:rsidR="007440A7" w:rsidRPr="00AF5CD6">
              <w:rPr>
                <w:rFonts w:ascii="Times" w:hAnsi="Times" w:cs="Times"/>
              </w:rPr>
              <w:t>nia</w:t>
            </w:r>
            <w:r w:rsidR="00EC7BA8" w:rsidRPr="00AF5CD6">
              <w:rPr>
                <w:rFonts w:ascii="Times" w:hAnsi="Times" w:cs="Times"/>
              </w:rPr>
              <w:t xml:space="preserve"> dostępnych na rynku</w:t>
            </w:r>
            <w:r w:rsidR="007440A7" w:rsidRPr="00AF5CD6">
              <w:rPr>
                <w:rFonts w:ascii="Times" w:hAnsi="Times" w:cs="Times"/>
              </w:rPr>
              <w:t xml:space="preserve"> takich, jak drzwi, klapy, wypełnienia</w:t>
            </w:r>
            <w:r w:rsidR="00EC7BA8" w:rsidRPr="00AF5CD6">
              <w:rPr>
                <w:rFonts w:ascii="Times" w:hAnsi="Times" w:cs="Times"/>
              </w:rPr>
              <w:t xml:space="preserve"> wynosi z reguły EI120, wyjątkowo do EI240. Zaproponowana klasa odporności EI360 jest niemożliwa do realizacji przy zastosowaniu produktów dostępnych na rynku. Przywołana odporność 6 h przy oddziaływaniu pożaru o temperaturze 400 stopni ma swoje źródło w publikacji</w:t>
            </w:r>
            <w:r w:rsidR="00B95E99" w:rsidRPr="00AF5CD6">
              <w:rPr>
                <w:rFonts w:ascii="Times" w:hAnsi="Times" w:cs="Times"/>
              </w:rPr>
              <w:t xml:space="preserve"> „Zasady kształtowania układów funkcjonalnych ustrojów nośnych oraz warstw ochronnych schronów i ukryć – Z. Szcześniak, WAT2012”</w:t>
            </w:r>
            <w:r w:rsidR="00EC7BA8" w:rsidRPr="00AF5CD6">
              <w:rPr>
                <w:rFonts w:ascii="Times" w:hAnsi="Times" w:cs="Times"/>
              </w:rPr>
              <w:t xml:space="preserve">, gdzie jednocześnie wskazuje się, że to wymagania powinno dotyczyć w istocie izolacyjności termicznej przegrody. Jednocześnie wskazano, że pożądaną izolacyjność zapewniają w zasadzie wszystkie schrony podstawowej odporności. </w:t>
            </w:r>
          </w:p>
          <w:p w14:paraId="044874DD" w14:textId="77777777" w:rsidR="00EC7BA8" w:rsidRPr="00AF5CD6" w:rsidRDefault="00EC7BA8" w:rsidP="00213F98">
            <w:pPr>
              <w:rPr>
                <w:rFonts w:ascii="Times" w:hAnsi="Times" w:cs="Times"/>
              </w:rPr>
            </w:pPr>
          </w:p>
          <w:p w14:paraId="6F3076C8" w14:textId="4BFDB4D1" w:rsidR="00EC7BA8" w:rsidRDefault="00F04354" w:rsidP="00213F98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 xml:space="preserve">Obligatoryjne wyposażenie istniejących budowli ochronnych w klapy przeciwpożarowe jest technicznie niemożliwe bez częściowej rozbiórki i przebudowy ścian nośnych, ponieważ automatyczne zawory przeciwwybuchowe i przepusty zabezpieczające płaszczyznę ochrony i hermetyzacji nie są przystosowane do montażu takich klap. </w:t>
            </w:r>
            <w:r w:rsidR="009C51CD" w:rsidRPr="39DCFF2A">
              <w:rPr>
                <w:rFonts w:ascii="Times" w:hAnsi="Times" w:cs="Times"/>
              </w:rPr>
              <w:t xml:space="preserve">Ponadto dostępne na rynku klapy </w:t>
            </w:r>
            <w:proofErr w:type="spellStart"/>
            <w:r w:rsidR="009C51CD" w:rsidRPr="39DCFF2A">
              <w:rPr>
                <w:rFonts w:ascii="Times" w:hAnsi="Times" w:cs="Times"/>
              </w:rPr>
              <w:t>ppoż</w:t>
            </w:r>
            <w:proofErr w:type="spellEnd"/>
            <w:r w:rsidR="009C51CD" w:rsidRPr="39DCFF2A">
              <w:rPr>
                <w:rFonts w:ascii="Times" w:hAnsi="Times" w:cs="Times"/>
              </w:rPr>
              <w:t>, mają klasę EI120 tylko dla rozwiązań umieszczanych w ścianie (stąd też propozycja opcjonalnych klap w schronach o klasie min. EI90, a nie EI120).</w:t>
            </w:r>
          </w:p>
          <w:p w14:paraId="1A49B972" w14:textId="77777777" w:rsidR="009C51CD" w:rsidRPr="00AF5CD6" w:rsidRDefault="009C51CD" w:rsidP="00213F98">
            <w:pPr>
              <w:rPr>
                <w:rFonts w:ascii="Times" w:hAnsi="Times" w:cs="Times"/>
              </w:rPr>
            </w:pPr>
          </w:p>
          <w:p w14:paraId="78546CA2" w14:textId="5628E948" w:rsidR="00EC7BA8" w:rsidRPr="00AF5CD6" w:rsidRDefault="00EC7BA8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Podstawowym środkiem technicznym zabezpieczającym przed działaniem długotrwałych pożarów w przypadku budowli ochronnych jest ich zdolność do hermetyzacji przy użyciu zaworów gazoszczelnych i wywiewnych klap schronowych z funkcją hermetyzacji. Innym środkiem technicznym stosowanych w istniejących budowlach są komory rozprężne z filtrami kamiennymi. </w:t>
            </w:r>
          </w:p>
          <w:p w14:paraId="7C02DA06" w14:textId="77777777" w:rsidR="00EC7BA8" w:rsidRPr="00AF5CD6" w:rsidRDefault="00EC7BA8" w:rsidP="00213F98">
            <w:pPr>
              <w:rPr>
                <w:rFonts w:ascii="Times" w:hAnsi="Times" w:cs="Times"/>
              </w:rPr>
            </w:pPr>
          </w:p>
          <w:p w14:paraId="7A2EC791" w14:textId="77777777" w:rsidR="00EC7BA8" w:rsidRDefault="00465DF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Przedsionek w budowlach ochronnych jest rozwiązaniem techniczno-funkcjonalnym, którego funkcją </w:t>
            </w:r>
            <w:r w:rsidR="00F04354" w:rsidRPr="00AF5CD6">
              <w:rPr>
                <w:rFonts w:ascii="Times" w:hAnsi="Times" w:cs="Times"/>
              </w:rPr>
              <w:t xml:space="preserve">jest </w:t>
            </w:r>
            <w:r w:rsidRPr="00AF5CD6">
              <w:rPr>
                <w:rFonts w:ascii="Times" w:hAnsi="Times" w:cs="Times"/>
              </w:rPr>
              <w:t>między innymi z</w:t>
            </w:r>
            <w:r w:rsidR="00F04354" w:rsidRPr="00AF5CD6">
              <w:rPr>
                <w:rFonts w:ascii="Times" w:hAnsi="Times" w:cs="Times"/>
              </w:rPr>
              <w:t>apewnienie</w:t>
            </w:r>
            <w:r w:rsidRPr="00AF5CD6">
              <w:rPr>
                <w:rFonts w:ascii="Times" w:hAnsi="Times" w:cs="Times"/>
              </w:rPr>
              <w:t xml:space="preserve"> izolacyjności termicznej</w:t>
            </w:r>
            <w:r w:rsidR="00F04354" w:rsidRPr="00AF5CD6">
              <w:rPr>
                <w:rFonts w:ascii="Times" w:hAnsi="Times" w:cs="Times"/>
              </w:rPr>
              <w:t xml:space="preserve"> w przypadku pożaru, dlatego w dotychczasowych budowlach ochronnych (również dużych odporności) oprócz drzwi ochronno-hermetycznych nie stosowano dodatkowych drzwi przeciwpożarowych.</w:t>
            </w:r>
          </w:p>
          <w:p w14:paraId="0D610DD5" w14:textId="77777777" w:rsidR="009C51CD" w:rsidRDefault="009C51CD" w:rsidP="00213F98">
            <w:pPr>
              <w:rPr>
                <w:rFonts w:ascii="Times" w:hAnsi="Times" w:cs="Times"/>
              </w:rPr>
            </w:pPr>
          </w:p>
          <w:p w14:paraId="68FA34D5" w14:textId="38612AA8" w:rsidR="009C51CD" w:rsidRPr="009C51CD" w:rsidRDefault="509AB8D7" w:rsidP="009C51CD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 xml:space="preserve">Należy zwrócić uwagę na </w:t>
            </w:r>
            <w:r w:rsidR="009C51CD" w:rsidRPr="39DCFF2A">
              <w:rPr>
                <w:rFonts w:ascii="Times" w:hAnsi="Times" w:cs="Times"/>
              </w:rPr>
              <w:t xml:space="preserve">przepis: par. 247.3 Warunków technicznych o brzmieniu: "3. W podziemnej kondygnacji budynku, w której znajduje się pomieszczenie przeznaczone dla ponad 100 osób, oraz budowli podziemnej z takim pomieszczeniem, należy zastosować rozwiązania techniczno-budowlane zapewniające usuwanie dymu z tego pomieszczenia i z dróg ewakuacyjnych" Może być on intepretowany przez rzeczoznawców pożarowych jako obowiązek wyposażania budowli ochronnych znajdujących się pod budynkami w wentylację oddymiającą - projektowanych i istniejących. </w:t>
            </w:r>
            <w:r w:rsidR="1636B048" w:rsidRPr="39DCFF2A">
              <w:rPr>
                <w:rFonts w:ascii="Times" w:hAnsi="Times" w:cs="Times"/>
              </w:rPr>
              <w:t>K</w:t>
            </w:r>
            <w:r w:rsidR="009C51CD" w:rsidRPr="39DCFF2A">
              <w:rPr>
                <w:rFonts w:ascii="Times" w:hAnsi="Times" w:cs="Times"/>
              </w:rPr>
              <w:t>onieczna jest aktualizacja tego przepisu i wyłączenie z niego budowli ochronnych projektowanych i eksploatowanych na podstawie odrębnych przepisów.</w:t>
            </w:r>
          </w:p>
          <w:p w14:paraId="73A03ACD" w14:textId="5424D3BD" w:rsidR="009C51CD" w:rsidRPr="00AF5CD6" w:rsidRDefault="009C51CD" w:rsidP="00213F98">
            <w:pPr>
              <w:rPr>
                <w:rFonts w:ascii="Times" w:hAnsi="Times" w:cs="Times"/>
              </w:rPr>
            </w:pPr>
          </w:p>
        </w:tc>
      </w:tr>
      <w:tr w:rsidR="00B865D3" w:rsidRPr="00AF5CD6" w14:paraId="6A818BAF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79850" w14:textId="1269A70D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lastRenderedPageBreak/>
              <w:t>§3 ust. 6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7D9F4" w14:textId="73D0E962" w:rsidR="00B865D3" w:rsidRPr="00AF5CD6" w:rsidRDefault="00B865D3" w:rsidP="00586376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Dotychczasowy zapis:</w:t>
            </w:r>
            <w:r w:rsidRPr="00AF5CD6">
              <w:rPr>
                <w:rFonts w:ascii="Times" w:hAnsi="Times" w:cs="Times"/>
              </w:rPr>
              <w:br/>
              <w:t xml:space="preserve">Funkcję ochronną przed nadciśnieniem powietrznej fali uderzeniowej oraz falą uderzeniową rozchodzącą się w gruncie uznaje się za spełnioną, gdy konstrukcja budowli ochronnej i zastosowane w niej zabezpieczenia otworów i instalacji zapewniają ochronę przed oddziaływaniem obciążeniem quasi-statycznym o wartości co najmniej 60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 xml:space="preserve">/m2. </w:t>
            </w:r>
          </w:p>
          <w:p w14:paraId="32048E39" w14:textId="77777777" w:rsidR="00B865D3" w:rsidRPr="00AF5CD6" w:rsidRDefault="00B865D3" w:rsidP="00586376">
            <w:pPr>
              <w:rPr>
                <w:rFonts w:ascii="Times" w:hAnsi="Times" w:cs="Times"/>
              </w:rPr>
            </w:pPr>
          </w:p>
          <w:p w14:paraId="55E70823" w14:textId="77777777" w:rsidR="00B865D3" w:rsidRPr="00AF5CD6" w:rsidRDefault="00B865D3" w:rsidP="00586376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Proponowany zapis:</w:t>
            </w:r>
            <w:r w:rsidRPr="00AF5CD6">
              <w:rPr>
                <w:rFonts w:ascii="Times" w:hAnsi="Times" w:cs="Times"/>
              </w:rPr>
              <w:br/>
            </w:r>
          </w:p>
          <w:p w14:paraId="1359E7E9" w14:textId="099B2827" w:rsidR="00B865D3" w:rsidRPr="00AF5CD6" w:rsidRDefault="00B865D3" w:rsidP="00586376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Funkcję ochronną przed nadciśnieniem powietrznej fali </w:t>
            </w:r>
            <w:r w:rsidR="003D4DBE" w:rsidRPr="00AF5CD6">
              <w:rPr>
                <w:rFonts w:ascii="Times" w:hAnsi="Times" w:cs="Times"/>
              </w:rPr>
              <w:t xml:space="preserve">padającej </w:t>
            </w:r>
            <w:r w:rsidRPr="00AF5CD6">
              <w:rPr>
                <w:rFonts w:ascii="Times" w:hAnsi="Times" w:cs="Times"/>
              </w:rPr>
              <w:t xml:space="preserve">oraz kombinacją fal uderzeniowych rozchodzących się w ośrodku gruntowym uznaje się za spełnioną, gdy konstrukcja budowli ochronnej zapewnia ochronę przed oddziaływaniem obciążeniem quasi-statycznym o wartości co najmniej 60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</w:t>
            </w:r>
            <w:r w:rsidRPr="00AF5CD6">
              <w:rPr>
                <w:rFonts w:ascii="Times" w:hAnsi="Times" w:cs="Times"/>
                <w:vertAlign w:val="superscript"/>
              </w:rPr>
              <w:t>2</w:t>
            </w:r>
            <w:r w:rsidRPr="00AF5CD6">
              <w:rPr>
                <w:rFonts w:ascii="Times" w:hAnsi="Times" w:cs="Times"/>
              </w:rPr>
              <w:t xml:space="preserve">, zastosowane w niej drzwi i wyłazy zapewniają ochronę przed oddziaływaniem obciążeniem quasi-statycznym o wartości co najmniej 200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</w:t>
            </w:r>
            <w:r w:rsidRPr="00AF5CD6">
              <w:rPr>
                <w:rFonts w:ascii="Times" w:hAnsi="Times" w:cs="Times"/>
                <w:vertAlign w:val="superscript"/>
              </w:rPr>
              <w:t>2</w:t>
            </w:r>
            <w:r w:rsidRPr="00AF5CD6">
              <w:rPr>
                <w:rFonts w:ascii="Times" w:hAnsi="Times" w:cs="Times"/>
              </w:rPr>
              <w:t xml:space="preserve">, a zabezpieczenia otworów i instalacji zapewniają ochronę przed oddziaływaniem obciążeniem quasi-statycznym o wartości co najmniej 300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</w:t>
            </w:r>
            <w:r w:rsidRPr="00AF5CD6">
              <w:rPr>
                <w:rFonts w:ascii="Times" w:hAnsi="Times" w:cs="Times"/>
                <w:vertAlign w:val="superscript"/>
              </w:rPr>
              <w:t>2</w:t>
            </w:r>
            <w:r w:rsidRPr="00AF5CD6">
              <w:rPr>
                <w:rFonts w:ascii="Times" w:hAnsi="Times" w:cs="Times"/>
              </w:rPr>
              <w:t>.</w:t>
            </w:r>
            <w:r w:rsidR="00EC7BA8" w:rsidRPr="00AF5CD6">
              <w:rPr>
                <w:rFonts w:ascii="Times" w:hAnsi="Times" w:cs="Times"/>
              </w:rPr>
              <w:t xml:space="preserve"> </w:t>
            </w:r>
            <w:r w:rsidR="00894B23" w:rsidRPr="00AF5CD6">
              <w:rPr>
                <w:rFonts w:ascii="Times" w:hAnsi="Times" w:cs="Times"/>
              </w:rPr>
              <w:t>W przypadku istniejących budowli ochronnych których odporność określono przy użyciu wartości maksymalnej nadciśnienia powietrznej fali uderzeniowej</w:t>
            </w:r>
            <w:r w:rsidR="004F3E45">
              <w:rPr>
                <w:rFonts w:ascii="Times" w:hAnsi="Times" w:cs="Times"/>
              </w:rPr>
              <w:t xml:space="preserve"> </w:t>
            </w:r>
            <w:proofErr w:type="spellStart"/>
            <w:r w:rsidR="004F3E45" w:rsidRPr="00AF5CD6">
              <w:rPr>
                <w:rFonts w:ascii="Times" w:hAnsi="Times" w:cs="Times"/>
              </w:rPr>
              <w:t>Δp</w:t>
            </w:r>
            <w:r w:rsidR="004F3E45" w:rsidRPr="00AF5CD6">
              <w:rPr>
                <w:rFonts w:ascii="Times" w:hAnsi="Times" w:cs="Times"/>
                <w:vertAlign w:val="subscript"/>
              </w:rPr>
              <w:t>m</w:t>
            </w:r>
            <w:proofErr w:type="spellEnd"/>
            <w:r w:rsidR="00894B23" w:rsidRPr="00AF5CD6">
              <w:rPr>
                <w:rFonts w:ascii="Times" w:hAnsi="Times" w:cs="Times"/>
              </w:rPr>
              <w:t xml:space="preserve">, w celu uzyskania wartości maksymalnego dopuszczalnego obciążenia quasi-statycznego należy wartość </w:t>
            </w:r>
            <w:proofErr w:type="spellStart"/>
            <w:r w:rsidR="00894B23" w:rsidRPr="00AF5CD6">
              <w:rPr>
                <w:rFonts w:ascii="Times" w:hAnsi="Times" w:cs="Times"/>
              </w:rPr>
              <w:t>Δp</w:t>
            </w:r>
            <w:r w:rsidR="00894B23" w:rsidRPr="00AF5CD6">
              <w:rPr>
                <w:rFonts w:ascii="Times" w:hAnsi="Times" w:cs="Times"/>
                <w:vertAlign w:val="subscript"/>
              </w:rPr>
              <w:t>m</w:t>
            </w:r>
            <w:proofErr w:type="spellEnd"/>
            <w:r w:rsidR="00894B23" w:rsidRPr="00AF5CD6">
              <w:rPr>
                <w:rFonts w:ascii="Times" w:hAnsi="Times" w:cs="Times"/>
              </w:rPr>
              <w:t xml:space="preserve"> przemnożyć</w:t>
            </w:r>
            <w:r w:rsidR="004F3E45">
              <w:rPr>
                <w:rFonts w:ascii="Times" w:hAnsi="Times" w:cs="Times"/>
              </w:rPr>
              <w:t xml:space="preserve"> w celach ewidencyjnych</w:t>
            </w:r>
            <w:r w:rsidR="00894B23" w:rsidRPr="00AF5CD6">
              <w:rPr>
                <w:rFonts w:ascii="Times" w:hAnsi="Times" w:cs="Times"/>
              </w:rPr>
              <w:t xml:space="preserve"> przez współczynnik równy 2,0. </w:t>
            </w:r>
          </w:p>
          <w:p w14:paraId="6CCB4B3D" w14:textId="77777777" w:rsidR="00B865D3" w:rsidRPr="00AF5CD6" w:rsidRDefault="00B865D3" w:rsidP="00586376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</w:rPr>
              <w:t xml:space="preserve"> </w:t>
            </w: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  <w:b/>
                <w:bCs/>
              </w:rPr>
              <w:t>Uzasadnienie:</w:t>
            </w:r>
          </w:p>
          <w:p w14:paraId="6D9AE64A" w14:textId="4697A857" w:rsidR="00B865D3" w:rsidRPr="00AF5CD6" w:rsidRDefault="00145DFE" w:rsidP="00586376">
            <w:pPr>
              <w:rPr>
                <w:rFonts w:ascii="Times" w:hAnsi="Times" w:cs="Times"/>
                <w:bCs/>
              </w:rPr>
            </w:pPr>
            <w:r w:rsidRPr="00AF5CD6">
              <w:rPr>
                <w:rFonts w:ascii="Times" w:hAnsi="Times" w:cs="Times"/>
              </w:rPr>
              <w:t>Doprecyzowanie przepisu i uwzględnienie współczynników zwiększających dla niektórych elementów budowli ochronnej narażonych na oddziaływanie fali rozchodzącej się w powietrzu, w tym fali odbitej powodującej miejscowo wyższe obciążenia.</w:t>
            </w:r>
          </w:p>
        </w:tc>
      </w:tr>
      <w:tr w:rsidR="00B865D3" w:rsidRPr="00AF5CD6" w14:paraId="7D0B831F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C3036" w14:textId="6B11FA64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lastRenderedPageBreak/>
              <w:t>§3 ust. 7 pkt 3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F7417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  <w:r w:rsidRPr="00AF5CD6">
              <w:rPr>
                <w:rFonts w:ascii="Times" w:hAnsi="Times" w:cs="Times"/>
              </w:rPr>
              <w:br/>
              <w:t>jest wyposażona w urządzenia lub przyrządy do wykrywania skażeń zapewniające wykrycie obecności bojowego środka chemicznego lub innej niebezpiecznej substancji chemicznej w próbkowanym powietrzu dopływającym do wnętrza budowli ochronnej i włączenie alarmu, gdy stężenie substancji przekroczy w przypadku:</w:t>
            </w:r>
          </w:p>
          <w:p w14:paraId="684586AC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a)</w:t>
            </w:r>
            <w:r w:rsidRPr="00AF5CD6">
              <w:rPr>
                <w:rFonts w:ascii="Times" w:hAnsi="Times" w:cs="Times"/>
              </w:rPr>
              <w:tab/>
              <w:t>sarinu – co najmniej 0,1 mg/m3,</w:t>
            </w:r>
          </w:p>
          <w:p w14:paraId="4E4C590A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b)</w:t>
            </w:r>
            <w:r w:rsidRPr="00AF5CD6">
              <w:rPr>
                <w:rFonts w:ascii="Times" w:hAnsi="Times" w:cs="Times"/>
              </w:rPr>
              <w:tab/>
              <w:t>somanu – co najmniej 0,1 mg/m3,</w:t>
            </w:r>
          </w:p>
          <w:p w14:paraId="6200A554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c)</w:t>
            </w:r>
            <w:r w:rsidRPr="00AF5CD6">
              <w:rPr>
                <w:rFonts w:ascii="Times" w:hAnsi="Times" w:cs="Times"/>
              </w:rPr>
              <w:tab/>
              <w:t xml:space="preserve">gazu bojowego </w:t>
            </w:r>
            <w:proofErr w:type="spellStart"/>
            <w:r w:rsidRPr="00AF5CD6">
              <w:rPr>
                <w:rFonts w:ascii="Times" w:hAnsi="Times" w:cs="Times"/>
              </w:rPr>
              <w:t>VX</w:t>
            </w:r>
            <w:proofErr w:type="spellEnd"/>
            <w:r w:rsidRPr="00AF5CD6">
              <w:rPr>
                <w:rFonts w:ascii="Times" w:hAnsi="Times" w:cs="Times"/>
              </w:rPr>
              <w:t xml:space="preserve"> – co najmniej 0,04 mg/m3,</w:t>
            </w:r>
          </w:p>
          <w:p w14:paraId="4DD37968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d)</w:t>
            </w:r>
            <w:r w:rsidRPr="00AF5CD6">
              <w:rPr>
                <w:rFonts w:ascii="Times" w:hAnsi="Times" w:cs="Times"/>
              </w:rPr>
              <w:tab/>
              <w:t>luizytu – co najmniej 2 mg/m3,</w:t>
            </w:r>
          </w:p>
          <w:p w14:paraId="44E56838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e)</w:t>
            </w:r>
            <w:r w:rsidRPr="00AF5CD6">
              <w:rPr>
                <w:rFonts w:ascii="Times" w:hAnsi="Times" w:cs="Times"/>
              </w:rPr>
              <w:tab/>
              <w:t>gazu musztardowego – co najmniej 2 mg/m3,</w:t>
            </w:r>
          </w:p>
          <w:p w14:paraId="2FDBF33A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f)</w:t>
            </w:r>
            <w:r w:rsidRPr="00AF5CD6">
              <w:rPr>
                <w:rFonts w:ascii="Times" w:hAnsi="Times" w:cs="Times"/>
              </w:rPr>
              <w:tab/>
              <w:t>iperytu azotowego – co najmniej 2 mg/m3,</w:t>
            </w:r>
          </w:p>
          <w:p w14:paraId="240ECB78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g)</w:t>
            </w:r>
            <w:r w:rsidRPr="00AF5CD6">
              <w:rPr>
                <w:rFonts w:ascii="Times" w:hAnsi="Times" w:cs="Times"/>
              </w:rPr>
              <w:tab/>
              <w:t>cyjanowodoru – co najmniej 20 mg/m3,</w:t>
            </w:r>
          </w:p>
          <w:p w14:paraId="66A07470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h)</w:t>
            </w:r>
            <w:r w:rsidRPr="00AF5CD6">
              <w:rPr>
                <w:rFonts w:ascii="Times" w:hAnsi="Times" w:cs="Times"/>
              </w:rPr>
              <w:tab/>
            </w:r>
            <w:proofErr w:type="spellStart"/>
            <w:r w:rsidRPr="00AF5CD6">
              <w:rPr>
                <w:rFonts w:ascii="Times" w:hAnsi="Times" w:cs="Times"/>
              </w:rPr>
              <w:t>chlorocyjaniny</w:t>
            </w:r>
            <w:proofErr w:type="spellEnd"/>
            <w:r w:rsidRPr="00AF5CD6">
              <w:rPr>
                <w:rFonts w:ascii="Times" w:hAnsi="Times" w:cs="Times"/>
              </w:rPr>
              <w:t xml:space="preserve"> – co najmniej 20 mg/m3,</w:t>
            </w:r>
          </w:p>
          <w:p w14:paraId="349FCF38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i)</w:t>
            </w:r>
            <w:r w:rsidRPr="00AF5CD6">
              <w:rPr>
                <w:rFonts w:ascii="Times" w:hAnsi="Times" w:cs="Times"/>
              </w:rPr>
              <w:tab/>
              <w:t>chloru – co najmniej 30 mg/m3,</w:t>
            </w:r>
          </w:p>
          <w:p w14:paraId="71DD6BB6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j)</w:t>
            </w:r>
            <w:r w:rsidRPr="00AF5CD6">
              <w:rPr>
                <w:rFonts w:ascii="Times" w:hAnsi="Times" w:cs="Times"/>
              </w:rPr>
              <w:tab/>
              <w:t>dwutlenku siarki – co najmniej 270 mg/m3,</w:t>
            </w:r>
          </w:p>
          <w:p w14:paraId="42AC903B" w14:textId="567A1330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k)</w:t>
            </w:r>
            <w:r w:rsidRPr="00AF5CD6">
              <w:rPr>
                <w:rFonts w:ascii="Times" w:hAnsi="Times" w:cs="Times"/>
              </w:rPr>
              <w:tab/>
              <w:t>amoniaku – co najmniej 210 mg/m3</w:t>
            </w:r>
          </w:p>
          <w:p w14:paraId="1CEA2A97" w14:textId="77777777" w:rsidR="00B865D3" w:rsidRPr="00AF5CD6" w:rsidRDefault="00B865D3" w:rsidP="00667F87">
            <w:pPr>
              <w:rPr>
                <w:rFonts w:ascii="Times" w:hAnsi="Times" w:cs="Times"/>
              </w:rPr>
            </w:pPr>
          </w:p>
          <w:p w14:paraId="7C7BCBEF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  <w:r w:rsidRPr="00AF5CD6">
              <w:rPr>
                <w:rFonts w:ascii="Times" w:hAnsi="Times" w:cs="Times"/>
              </w:rPr>
              <w:br/>
              <w:t>jest wyposażona w urządzenia lub przyrządy do wykrywania skażeń zapewniające wykrycie obecności bojowego środka chemicznego lub innej niebezpiecznej substancji chemicznej w próbkowanym powietrzu dopływającym do wnętrza budowli ochronnej i włączenie alarmu, gdy stężenie substancji przekroczy w przypadku:</w:t>
            </w:r>
          </w:p>
          <w:p w14:paraId="344B9293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a)</w:t>
            </w:r>
            <w:r w:rsidRPr="00AF5CD6">
              <w:rPr>
                <w:rFonts w:ascii="Times" w:hAnsi="Times" w:cs="Times"/>
              </w:rPr>
              <w:tab/>
              <w:t>sarinu – co najmniej 0,1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5242E9E4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b)</w:t>
            </w:r>
            <w:r w:rsidRPr="00AF5CD6">
              <w:rPr>
                <w:rFonts w:ascii="Times" w:hAnsi="Times" w:cs="Times"/>
              </w:rPr>
              <w:tab/>
              <w:t>somanu – co najmniej 0,1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6C13BD85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c)</w:t>
            </w:r>
            <w:r w:rsidRPr="00AF5CD6">
              <w:rPr>
                <w:rFonts w:ascii="Times" w:hAnsi="Times" w:cs="Times"/>
              </w:rPr>
              <w:tab/>
              <w:t xml:space="preserve">gazu bojowego </w:t>
            </w:r>
            <w:proofErr w:type="spellStart"/>
            <w:r w:rsidRPr="00AF5CD6">
              <w:rPr>
                <w:rFonts w:ascii="Times" w:hAnsi="Times" w:cs="Times"/>
              </w:rPr>
              <w:t>VX</w:t>
            </w:r>
            <w:proofErr w:type="spellEnd"/>
            <w:r w:rsidRPr="00AF5CD6">
              <w:rPr>
                <w:rFonts w:ascii="Times" w:hAnsi="Times" w:cs="Times"/>
              </w:rPr>
              <w:t xml:space="preserve"> – co najmniej 0,04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4C5A9485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d)</w:t>
            </w:r>
            <w:r w:rsidRPr="00AF5CD6">
              <w:rPr>
                <w:rFonts w:ascii="Times" w:hAnsi="Times" w:cs="Times"/>
              </w:rPr>
              <w:tab/>
              <w:t>luizytu – co najmniej 2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4A00A03C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e)</w:t>
            </w:r>
            <w:r w:rsidRPr="00AF5CD6">
              <w:rPr>
                <w:rFonts w:ascii="Times" w:hAnsi="Times" w:cs="Times"/>
              </w:rPr>
              <w:tab/>
              <w:t>gazu musztardowego – co najmniej 2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1510098C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f)</w:t>
            </w:r>
            <w:r w:rsidRPr="00AF5CD6">
              <w:rPr>
                <w:rFonts w:ascii="Times" w:hAnsi="Times" w:cs="Times"/>
              </w:rPr>
              <w:tab/>
              <w:t>iperytu azotowego – co najmniej 2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234AFAFB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g)</w:t>
            </w:r>
            <w:r w:rsidRPr="00AF5CD6">
              <w:rPr>
                <w:rFonts w:ascii="Times" w:hAnsi="Times" w:cs="Times"/>
              </w:rPr>
              <w:tab/>
              <w:t>cyjanowodoru – co najmniej 20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0E8B2EBA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h)</w:t>
            </w:r>
            <w:r w:rsidRPr="00AF5CD6">
              <w:rPr>
                <w:rFonts w:ascii="Times" w:hAnsi="Times" w:cs="Times"/>
              </w:rPr>
              <w:tab/>
            </w:r>
            <w:proofErr w:type="spellStart"/>
            <w:r w:rsidRPr="00AF5CD6">
              <w:rPr>
                <w:rFonts w:ascii="Times" w:hAnsi="Times" w:cs="Times"/>
              </w:rPr>
              <w:t>chlorocyjaniny</w:t>
            </w:r>
            <w:proofErr w:type="spellEnd"/>
            <w:r w:rsidRPr="00AF5CD6">
              <w:rPr>
                <w:rFonts w:ascii="Times" w:hAnsi="Times" w:cs="Times"/>
              </w:rPr>
              <w:t xml:space="preserve"> – co najmniej 20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0C8C4A40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i)</w:t>
            </w:r>
            <w:r w:rsidRPr="00AF5CD6">
              <w:rPr>
                <w:rFonts w:ascii="Times" w:hAnsi="Times" w:cs="Times"/>
              </w:rPr>
              <w:tab/>
              <w:t>chloru – co najmniej 30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7D0920F5" w14:textId="77777777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j)</w:t>
            </w:r>
            <w:r w:rsidRPr="00AF5CD6">
              <w:rPr>
                <w:rFonts w:ascii="Times" w:hAnsi="Times" w:cs="Times"/>
              </w:rPr>
              <w:tab/>
              <w:t>dwutlenku siarki – co najmniej 270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01D01B46" w14:textId="1A4D4D09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k)</w:t>
            </w:r>
            <w:r w:rsidRPr="00AF5CD6">
              <w:rPr>
                <w:rFonts w:ascii="Times" w:hAnsi="Times" w:cs="Times"/>
              </w:rPr>
              <w:tab/>
              <w:t>amoniaku – co najmniej 210 mg/m</w:t>
            </w:r>
            <w:r w:rsidRPr="00AF5CD6">
              <w:rPr>
                <w:rFonts w:ascii="Times" w:hAnsi="Times" w:cs="Times"/>
                <w:vertAlign w:val="superscript"/>
              </w:rPr>
              <w:t>3</w:t>
            </w:r>
            <w:r w:rsidRPr="00AF5CD6">
              <w:rPr>
                <w:rFonts w:ascii="Times" w:hAnsi="Times" w:cs="Times"/>
              </w:rPr>
              <w:t>,</w:t>
            </w:r>
          </w:p>
          <w:p w14:paraId="1C5D7E88" w14:textId="7A80C684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lub dla ukryć i schronów kategorii S1 jest wyposażona w systemy łączności umożliwiającej odbieranie ostrzeżeń z systemu powiadamiania, ostrzegania i alarmowania ludności z możliwością zasilania bateryjnego lub akumulatorowego, a w przypadku systemów radiowych z anteną wyprowadzoną do szybu wyjścia zapasowego;</w:t>
            </w:r>
          </w:p>
          <w:p w14:paraId="0E09003A" w14:textId="68BF4083" w:rsidR="00B865D3" w:rsidRPr="00AF5CD6" w:rsidRDefault="00B865D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lastRenderedPageBreak/>
              <w:t>4) jest wyposażona w urządzenia kontrolno-pomiarowe do wykrywania i pomiaru stężeń tlenku i dwutlenku węgla w powietrzu – sygnalizator elektroniczny wewnątrz budowli ochronnej, czujki dymu umieszczone wewnątrz budowli ochronnej oraz w czerpni powietrza. Najwyższe dopuszczalne stężenie dwutlenku węgla wynosi 0,5%.;</w:t>
            </w:r>
          </w:p>
          <w:p w14:paraId="3FAA5F0E" w14:textId="77777777" w:rsidR="00B865D3" w:rsidRPr="00AF5CD6" w:rsidRDefault="00B865D3" w:rsidP="00667F87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  <w:b/>
                <w:bCs/>
              </w:rPr>
              <w:t>Uzasadnienie:</w:t>
            </w:r>
          </w:p>
          <w:p w14:paraId="3394B383" w14:textId="77777777" w:rsidR="00B865D3" w:rsidRPr="00AF5CD6" w:rsidRDefault="00145DFE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Cena rynkowa pojedynczego urządzenia do wykrywania skażeń spełniającego wymagania określone w rozporządzeniu</w:t>
            </w:r>
            <w:r w:rsidR="00DE3B03" w:rsidRPr="00AF5CD6">
              <w:rPr>
                <w:rFonts w:ascii="Times" w:hAnsi="Times" w:cs="Times"/>
              </w:rPr>
              <w:t xml:space="preserve"> przeznaczonego do montażu w schronie</w:t>
            </w:r>
            <w:r w:rsidRPr="00AF5CD6">
              <w:rPr>
                <w:rFonts w:ascii="Times" w:hAnsi="Times" w:cs="Times"/>
              </w:rPr>
              <w:t xml:space="preserve"> wynosi powyżej 100 tysięcy euro (stan na grudzień 2024 r.). Proponujemy, aby tego typu specjalistyczne urządzenia były obligatoryjne w schronach najwyższych kategorii (S2-S3), a w przypadku kategorii S1 dopuścić systemy łączności umożliwiające odbieranie ostrzeżeń z systemu powiadamiania, ostrzegania i alarmowania ludności.</w:t>
            </w:r>
          </w:p>
          <w:p w14:paraId="719505C6" w14:textId="02EADC8A" w:rsidR="00DE3B03" w:rsidRPr="00AF5CD6" w:rsidRDefault="00DE3B03" w:rsidP="00667F87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Ponadto, w celu zapewnienia bezpieczeństwa użytkowania w fazie izolacji należy zapewnić czujniki stężenia dwutlenku węgla. </w:t>
            </w:r>
          </w:p>
        </w:tc>
      </w:tr>
      <w:tr w:rsidR="00B865D3" w:rsidRPr="00AF5CD6" w14:paraId="270C4855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DDDC4" w14:textId="43AA6119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lastRenderedPageBreak/>
              <w:t>§3 ust. 8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D6625" w14:textId="02C8D310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  <w:r w:rsidRPr="00AF5CD6">
              <w:rPr>
                <w:rFonts w:ascii="Times" w:hAnsi="Times" w:cs="Times"/>
                <w:b/>
                <w:bCs/>
              </w:rPr>
              <w:br/>
            </w:r>
            <w:r w:rsidRPr="00AF5CD6">
              <w:rPr>
                <w:rFonts w:ascii="Times" w:hAnsi="Times" w:cs="Times"/>
              </w:rPr>
              <w:t>Funkcję ochronną przed wstrząsem oddziałującym na konstrukcję i wyposażenie budowli ochronnej uznaje się za spełnioną, gdy w budowli zapewniono mocowania wyposażenia wewnętrznego oraz innych elementów wewnętrznych tej budowli do elementów konstrukcyjnych w sposób zabezpieczający przed ich spadaniem lub przemieszczaniem, przy uwzględnieniu obciążeń bezwładnościowych na skutek przyspieszeń wywołanych zjawiskiem wstrząsu o wartości co najmniej 12,5 g.</w:t>
            </w:r>
          </w:p>
          <w:p w14:paraId="0BE73DC5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</w:p>
          <w:p w14:paraId="6C668AA6" w14:textId="77777777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  <w:r w:rsidRPr="00AF5CD6">
              <w:rPr>
                <w:rFonts w:ascii="Times" w:hAnsi="Times" w:cs="Times"/>
              </w:rPr>
              <w:br/>
              <w:t>Funkcję ochronną przed wstrząsem oddziałującym na konstrukcję i wyposażenie budowli ochronnej uznaje się za spełnioną, gdy w budowli zapewniono mocowania wyposażenia wewnętrznego oraz innych elementów wewnętrznych tej budowli o masie powyżej 10 kg do elementów konstrukcyjnych w sposób zabezpieczający przed ich spadaniem lub przemieszczaniem, przy uwzględnieniu obciążeń bezwładnościowych na skutek przyspieszeń wywołanych zjawiskiem wstrząsu o wartości co najmniej 12,5 g.</w:t>
            </w:r>
          </w:p>
          <w:p w14:paraId="5A314D75" w14:textId="77777777" w:rsidR="00B865D3" w:rsidRPr="00AF5CD6" w:rsidRDefault="00B865D3" w:rsidP="00213F98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</w:rPr>
              <w:br/>
            </w:r>
            <w:r w:rsidRPr="00AF5CD6">
              <w:rPr>
                <w:rFonts w:ascii="Times" w:hAnsi="Times" w:cs="Times"/>
                <w:b/>
                <w:bCs/>
              </w:rPr>
              <w:t>Uzasadnienie:</w:t>
            </w:r>
          </w:p>
          <w:p w14:paraId="516B93A7" w14:textId="4D55D2F9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Doprecyzowanie przepisu. Zastosowanie mocowania wyposażenia wewnętrznego oraz innych elementów wewnętrznych stosuje się w przypadku elementów o masie powyżej 10 kg (np. łóżek, agregatów, szaf rozdzielczych)</w:t>
            </w:r>
            <w:r w:rsidR="00DE3B03" w:rsidRPr="00AF5CD6">
              <w:rPr>
                <w:rFonts w:ascii="Times" w:hAnsi="Times" w:cs="Times"/>
              </w:rPr>
              <w:t xml:space="preserve">, podobne wymagania są zawarte w wytycznych </w:t>
            </w:r>
            <w:proofErr w:type="spellStart"/>
            <w:r w:rsidR="00DE3B03" w:rsidRPr="00AF5CD6">
              <w:rPr>
                <w:rFonts w:ascii="Times" w:hAnsi="Times" w:cs="Times"/>
              </w:rPr>
              <w:t>TW-Schock</w:t>
            </w:r>
            <w:proofErr w:type="spellEnd"/>
            <w:r w:rsidR="00DE3B03" w:rsidRPr="00AF5CD6">
              <w:rPr>
                <w:rFonts w:ascii="Times" w:hAnsi="Times" w:cs="Times"/>
              </w:rPr>
              <w:t xml:space="preserve"> 2021 (Szwajcaria) oraz w projekcie wytycznych MON dla schronów i ukryć (2024)</w:t>
            </w:r>
            <w:r w:rsidRPr="00AF5CD6">
              <w:rPr>
                <w:rFonts w:ascii="Times" w:hAnsi="Times" w:cs="Times"/>
              </w:rPr>
              <w:t>.</w:t>
            </w:r>
          </w:p>
        </w:tc>
      </w:tr>
      <w:tr w:rsidR="00B95E99" w:rsidRPr="00AF5CD6" w14:paraId="76872D85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3A72" w14:textId="7A1D6951" w:rsidR="00B95E99" w:rsidRPr="00AF5CD6" w:rsidRDefault="00B95E99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lastRenderedPageBreak/>
              <w:t>§4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1D65F" w14:textId="7D777EDA" w:rsidR="00586B1D" w:rsidRPr="00AF5CD6" w:rsidRDefault="00586B1D" w:rsidP="00586B1D">
            <w:pPr>
              <w:pStyle w:val="ARTartustawynprozporzdzenia"/>
              <w:keepNext/>
              <w:ind w:firstLine="0"/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</w:p>
          <w:p w14:paraId="4565AC22" w14:textId="3386E845" w:rsidR="00586B1D" w:rsidRPr="00AF5CD6" w:rsidRDefault="00586B1D" w:rsidP="00586B1D">
            <w:pPr>
              <w:pStyle w:val="ARTartustawynprozporzdzenia"/>
              <w:keepNext/>
              <w:ind w:firstLine="0"/>
            </w:pPr>
            <w:r>
              <w:t>Dotychczasowa budowla ochronna może być przeznaczona do pełnienia funkcji ochronnej dla</w:t>
            </w:r>
            <w:r w:rsidR="3A161669">
              <w:t xml:space="preserve"> </w:t>
            </w:r>
            <w:r>
              <w:t>osób jeżeli poza wymaganiami, o których mowa w § 3, ma zapewnione rozwiązania z zakresu ochrony przeciwpożarowej ograniczające możliwość powstania pożaru, a w razie jego wystąpienia zapewniające:</w:t>
            </w:r>
          </w:p>
          <w:p w14:paraId="688971B6" w14:textId="77777777" w:rsidR="00586B1D" w:rsidRPr="00AF5CD6" w:rsidRDefault="00586B1D" w:rsidP="00586B1D">
            <w:pPr>
              <w:pStyle w:val="PKTpunkt"/>
            </w:pPr>
            <w:r w:rsidRPr="00AF5CD6">
              <w:t>1)</w:t>
            </w:r>
            <w:r w:rsidRPr="00AF5CD6">
              <w:tab/>
              <w:t>możliwość ewakuacji osób z budowli ochronnej lub ich uratowania w inny sposób;</w:t>
            </w:r>
          </w:p>
          <w:p w14:paraId="6D3BA6C0" w14:textId="34630DC8" w:rsidR="00B95E99" w:rsidRPr="00AF5CD6" w:rsidRDefault="00586B1D" w:rsidP="00586B1D">
            <w:r>
              <w:t>2)</w:t>
            </w:r>
            <w:r w:rsidR="2FDEA3B2">
              <w:t xml:space="preserve">     </w:t>
            </w:r>
            <w:r>
              <w:t>ograniczenie rozprzestrzeniania się ognia i dymu wewnątrz budowli ochronnej</w:t>
            </w:r>
          </w:p>
          <w:p w14:paraId="4FE618AA" w14:textId="77777777" w:rsidR="00586B1D" w:rsidRPr="00AF5CD6" w:rsidRDefault="00586B1D" w:rsidP="00586B1D"/>
          <w:p w14:paraId="09FA53A0" w14:textId="77777777" w:rsidR="00586B1D" w:rsidRPr="00AF5CD6" w:rsidRDefault="00586B1D" w:rsidP="00586B1D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</w:p>
          <w:p w14:paraId="17EC14C3" w14:textId="6A93CFED" w:rsidR="00586B1D" w:rsidRPr="00AF5CD6" w:rsidRDefault="00586B1D" w:rsidP="00586B1D">
            <w:pPr>
              <w:pStyle w:val="ARTartustawynprozporzdzenia"/>
              <w:keepNext/>
              <w:ind w:firstLine="0"/>
            </w:pPr>
            <w:r>
              <w:t>1. Dotychczasowa budowla ochronna może być przeznaczona do pełnienia funkcji ochronnej dla</w:t>
            </w:r>
            <w:r w:rsidR="4243F848">
              <w:t xml:space="preserve"> </w:t>
            </w:r>
            <w:r>
              <w:t>osób jeżeli poza wymaganiami, o których mowa w § 3, ma zapewnione rozwiązania z zakresu ochrony przeciwpożarowej ograniczające możliwość powstania pożaru, a w razie jego wystąpienia zapewniające:</w:t>
            </w:r>
          </w:p>
          <w:p w14:paraId="56E53183" w14:textId="77777777" w:rsidR="00586B1D" w:rsidRPr="00AF5CD6" w:rsidRDefault="00586B1D" w:rsidP="00586B1D">
            <w:pPr>
              <w:pStyle w:val="PKTpunkt"/>
            </w:pPr>
            <w:r w:rsidRPr="00AF5CD6">
              <w:t>1)</w:t>
            </w:r>
            <w:r w:rsidRPr="00AF5CD6">
              <w:tab/>
              <w:t>możliwość ewakuacji osób z budowli ochronnej lub ich uratowania w inny sposób;</w:t>
            </w:r>
          </w:p>
          <w:p w14:paraId="31A96308" w14:textId="7EFE5C98" w:rsidR="00586B1D" w:rsidRPr="00AF5CD6" w:rsidRDefault="00586B1D" w:rsidP="00586B1D">
            <w:r>
              <w:t>2)</w:t>
            </w:r>
            <w:r w:rsidR="3F2C2EFC">
              <w:t xml:space="preserve">     </w:t>
            </w:r>
            <w:r>
              <w:t>ograniczenie rozprzestrzeniania się ognia wewnątrz budowli ochronnej rozumianego jako spełnienie wymagań określonych w Załączniku nr 3 do Rozporządzenia Ministra Rozwoju i Technologii z dnia 9 maja 2024 r. zmieniające rozporządzenie w sprawie warun</w:t>
            </w:r>
            <w:r w:rsidR="00C67421">
              <w:t>k</w:t>
            </w:r>
            <w:r>
              <w:t>ów technicznych, jakim powinny odpowiadać budynki i ich usytuowanie.</w:t>
            </w:r>
          </w:p>
          <w:p w14:paraId="44741DCE" w14:textId="77777777" w:rsidR="00586B1D" w:rsidRPr="00AF5CD6" w:rsidRDefault="00586B1D" w:rsidP="00586B1D"/>
          <w:p w14:paraId="14620AB6" w14:textId="797E15B8" w:rsidR="00586B1D" w:rsidRPr="00AF5CD6" w:rsidRDefault="00586B1D" w:rsidP="00586B1D">
            <w:pPr>
              <w:rPr>
                <w:b/>
                <w:bCs/>
              </w:rPr>
            </w:pPr>
            <w:r w:rsidRPr="00AF5CD6">
              <w:rPr>
                <w:b/>
                <w:bCs/>
              </w:rPr>
              <w:t>Uzasadnienie:</w:t>
            </w:r>
          </w:p>
          <w:p w14:paraId="569049EA" w14:textId="4DC17484" w:rsidR="00586B1D" w:rsidRPr="00AF5CD6" w:rsidRDefault="00586B1D" w:rsidP="39DCFF2A">
            <w:pPr>
              <w:rPr>
                <w:rFonts w:ascii="Times" w:hAnsi="Times" w:cs="Times"/>
                <w:b/>
                <w:bCs/>
              </w:rPr>
            </w:pPr>
            <w:r>
              <w:t xml:space="preserve">Z punktu widzenia przepisów techniczno-budowlanych ograniczenie rozprzestrzeniania się dymu będzie rozumiane jako </w:t>
            </w:r>
            <w:r w:rsidR="00300855">
              <w:t>wyposażenie budowli ochronnej w urządzenia zapobiegające zadymieniu lub urządzenia oddymiające, co w przypadku istniejących obiekt</w:t>
            </w:r>
            <w:r w:rsidR="00C67421">
              <w:t>ów</w:t>
            </w:r>
            <w:r w:rsidR="00300855">
              <w:t xml:space="preserve"> </w:t>
            </w:r>
          </w:p>
          <w:p w14:paraId="7A10EDFE" w14:textId="52588D89" w:rsidR="00586B1D" w:rsidRPr="00AF5CD6" w:rsidRDefault="00300855" w:rsidP="00C67421">
            <w:pPr>
              <w:rPr>
                <w:rFonts w:ascii="Times" w:hAnsi="Times" w:cs="Times"/>
                <w:b/>
                <w:bCs/>
              </w:rPr>
            </w:pPr>
            <w:r>
              <w:t>technicznie będzie niemożliwe.</w:t>
            </w:r>
            <w:r w:rsidR="0B57E060">
              <w:t xml:space="preserve"> Na postawie pozyskanych danych</w:t>
            </w:r>
            <w:r w:rsidR="421E4D7A">
              <w:t xml:space="preserve"> </w:t>
            </w:r>
            <w:r w:rsidR="00C67421">
              <w:t xml:space="preserve">w schronach o dużej pojemności (kilka tysięcy osób) zlokalizowanych w Helsinkach, wynika, że systemy oddymiające nie są stosowane w budowlach ochronnych. </w:t>
            </w:r>
          </w:p>
        </w:tc>
      </w:tr>
      <w:tr w:rsidR="00B865D3" w:rsidRPr="00107B4A" w14:paraId="4E52FD93" w14:textId="77777777" w:rsidTr="39DCFF2A"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838BE" w14:textId="686093E2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§6</w:t>
            </w:r>
          </w:p>
        </w:tc>
        <w:tc>
          <w:tcPr>
            <w:tcW w:w="121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5409F" w14:textId="77777777" w:rsidR="00B865D3" w:rsidRPr="00AF5CD6" w:rsidRDefault="00B865D3" w:rsidP="00E430D2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Dotychczasowy zapis:</w:t>
            </w:r>
            <w:r w:rsidRPr="00AF5CD6">
              <w:rPr>
                <w:rFonts w:ascii="Times" w:hAnsi="Times" w:cs="Times"/>
                <w:b/>
                <w:bCs/>
              </w:rPr>
              <w:br/>
            </w:r>
            <w:r w:rsidRPr="00AF5CD6">
              <w:rPr>
                <w:rFonts w:ascii="Times" w:hAnsi="Times" w:cs="Times"/>
              </w:rPr>
              <w:t>Budowli ochronnej nadaje się kategorię odporności:</w:t>
            </w:r>
          </w:p>
          <w:p w14:paraId="54ECFFBC" w14:textId="77777777" w:rsidR="00B865D3" w:rsidRPr="00AF5CD6" w:rsidRDefault="00B865D3" w:rsidP="00E430D2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1) S-1 – schron posiadający funkcje ochronne określone w § 2 ust. 2 i § 4, który zabezpiecza przed oddziaływaniem fali uderzeniowej wywołującej obciążenie quasi-statyczne o wartości 100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/m2;</w:t>
            </w:r>
          </w:p>
          <w:p w14:paraId="231B9F66" w14:textId="77777777" w:rsidR="00B865D3" w:rsidRPr="00AF5CD6" w:rsidRDefault="00B865D3" w:rsidP="00E430D2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2)S-2 – schron posiadający funkcje ochronne określone w § 2 ust. 2 i § 4, który zabezpiecza przed oddziaływaniem fali uderzeniowej wywołującej obciążenie quasi-statyczne o wartości 200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/m2;</w:t>
            </w:r>
          </w:p>
          <w:p w14:paraId="75BEC632" w14:textId="77777777" w:rsidR="00B865D3" w:rsidRPr="00AF5CD6" w:rsidRDefault="00B865D3" w:rsidP="00E430D2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lastRenderedPageBreak/>
              <w:t xml:space="preserve">3) schron posiadający funkcje ochronne określone w § 2 ust. 2 i § 4, który zabezpiecza przed oddziaływaniem fali uderzeniowej wywołującej obciążenie quasi-statyczne o wartości 300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/m2;</w:t>
            </w:r>
          </w:p>
          <w:p w14:paraId="32C66A92" w14:textId="77777777" w:rsidR="00B865D3" w:rsidRPr="00AF5CD6" w:rsidRDefault="00B865D3" w:rsidP="00E430D2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4) U-1 – ukrycie posiadające funkcje ochronne określone w § 2 ust. 2 pkt 1–3 i § 4;</w:t>
            </w:r>
          </w:p>
          <w:p w14:paraId="00F32701" w14:textId="77777777" w:rsidR="00B865D3" w:rsidRPr="00AF5CD6" w:rsidRDefault="00B865D3" w:rsidP="00E430D2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5) U-2 – ukrycie posiadające funkcje ochronne określone w § 2 ust. 2 pkt 1-5 § 4;</w:t>
            </w:r>
          </w:p>
          <w:p w14:paraId="7BC0CCBF" w14:textId="0B2BFB2D" w:rsidR="00B865D3" w:rsidRPr="00AF5CD6" w:rsidRDefault="00B865D3" w:rsidP="00E430D2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6) U-3 – ukrycie posiadające funkcje ochronne określone w § 2 ust. 2 pkt 1-6 i § 4.</w:t>
            </w:r>
          </w:p>
          <w:p w14:paraId="58E4C44A" w14:textId="77777777" w:rsidR="00B865D3" w:rsidRPr="00AF5CD6" w:rsidRDefault="00B865D3" w:rsidP="00E430D2">
            <w:pPr>
              <w:rPr>
                <w:rFonts w:ascii="Times" w:hAnsi="Times" w:cs="Times"/>
              </w:rPr>
            </w:pPr>
          </w:p>
          <w:p w14:paraId="6BC2BAE0" w14:textId="76636423" w:rsidR="00B865D3" w:rsidRPr="00AF5CD6" w:rsidRDefault="00B865D3" w:rsidP="00213F9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  <w:b/>
                <w:bCs/>
              </w:rPr>
              <w:t>Proponowany zapis:</w:t>
            </w:r>
            <w:r w:rsidRPr="00AF5CD6">
              <w:rPr>
                <w:rFonts w:ascii="Times" w:hAnsi="Times" w:cs="Times"/>
              </w:rPr>
              <w:br/>
              <w:t>1. Budowli ochronnej nadaje się kategorię odporności:</w:t>
            </w:r>
          </w:p>
          <w:p w14:paraId="60431931" w14:textId="59DFCB44" w:rsidR="00B865D3" w:rsidRPr="00AF5CD6" w:rsidRDefault="00B865D3" w:rsidP="005434F8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 xml:space="preserve">1) S-1– schron posiadający funkcje ochronne określone w § 2 ust. 2 i § 4, który zabezpiecza przed falą padającą i odbitą a także kombinacją fal uderzeniowych rozchodzących się w ośrodku gruntowym </w:t>
            </w:r>
            <w:proofErr w:type="spellStart"/>
            <w:r w:rsidR="25E5E627" w:rsidRPr="39DCFF2A">
              <w:rPr>
                <w:rFonts w:ascii="Times" w:hAnsi="Times" w:cs="Times"/>
              </w:rPr>
              <w:t>Analiza</w:t>
            </w:r>
            <w:r w:rsidRPr="39DCFF2A">
              <w:rPr>
                <w:rFonts w:ascii="Times" w:hAnsi="Times" w:cs="Times"/>
              </w:rPr>
              <w:t>wywołujących</w:t>
            </w:r>
            <w:proofErr w:type="spellEnd"/>
            <w:r w:rsidRPr="39DCFF2A">
              <w:rPr>
                <w:rFonts w:ascii="Times" w:hAnsi="Times" w:cs="Times"/>
              </w:rPr>
              <w:t xml:space="preserve"> obciążenie quasi-statyczne o wartości 100 </w:t>
            </w:r>
            <w:proofErr w:type="spellStart"/>
            <w:r w:rsidRPr="39DCFF2A">
              <w:rPr>
                <w:rFonts w:ascii="Times" w:hAnsi="Times" w:cs="Times"/>
              </w:rPr>
              <w:t>kN</w:t>
            </w:r>
            <w:proofErr w:type="spellEnd"/>
            <w:r w:rsidRPr="39DCFF2A">
              <w:rPr>
                <w:rFonts w:ascii="Times" w:hAnsi="Times" w:cs="Times"/>
              </w:rPr>
              <w:t>/m2;</w:t>
            </w:r>
          </w:p>
          <w:p w14:paraId="092A48F7" w14:textId="77777777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2) S-2 – falą padającą i odbitą a także kombinacją fal uderzeniowych rozchodzących się w ośrodku gruntowym wywołujących obciążenie quasi-statyczne o wartości 200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/m2;</w:t>
            </w:r>
          </w:p>
          <w:p w14:paraId="363DEF3E" w14:textId="77777777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3) S-3 – falą padającą i odbitą a także kombinacją fal uderzeniowych rozchodzących się w ośrodku gruntowym wywołujących obciążenie quasi-statyczne o wartości 300 </w:t>
            </w:r>
            <w:proofErr w:type="spellStart"/>
            <w:r w:rsidRPr="00AF5CD6">
              <w:rPr>
                <w:rFonts w:ascii="Times" w:hAnsi="Times" w:cs="Times"/>
              </w:rPr>
              <w:t>kN</w:t>
            </w:r>
            <w:proofErr w:type="spellEnd"/>
            <w:r w:rsidRPr="00AF5CD6">
              <w:rPr>
                <w:rFonts w:ascii="Times" w:hAnsi="Times" w:cs="Times"/>
              </w:rPr>
              <w:t>/m2;</w:t>
            </w:r>
          </w:p>
          <w:p w14:paraId="010FEA41" w14:textId="77777777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4) U-1 – ukrycie posiadające funkcje ochronne określone w § 2 ust. 2 pkt 1–3 i § 4;</w:t>
            </w:r>
          </w:p>
          <w:p w14:paraId="5A9A7316" w14:textId="77777777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5) U-2 – ukrycie posiadające funkcje ochronne określone w § 2 ust. 2 pkt 1–3, 6 i § 4;</w:t>
            </w:r>
          </w:p>
          <w:p w14:paraId="723E0B07" w14:textId="77777777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 xml:space="preserve">6) U-3 – ukrycie posiadające funkcje ochronne określone w § 2 ust. 2 pkt 1–4, 6 i § 4. </w:t>
            </w:r>
          </w:p>
          <w:p w14:paraId="5139F065" w14:textId="77777777" w:rsidR="00B865D3" w:rsidRPr="00AF5CD6" w:rsidRDefault="00B865D3" w:rsidP="005434F8">
            <w:pPr>
              <w:rPr>
                <w:rFonts w:ascii="Times" w:hAnsi="Times" w:cs="Times"/>
              </w:rPr>
            </w:pPr>
          </w:p>
          <w:p w14:paraId="36C83F6A" w14:textId="002A4464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2. Wartości obciążeń quasi-statycznych określonych w ust. 1 należy w następujących przypadkach przemnożyć przez współczynnik:</w:t>
            </w:r>
          </w:p>
          <w:p w14:paraId="3B358E7D" w14:textId="0E14FEB8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1) równy 2,0 dla drzwi i wyłazów;</w:t>
            </w:r>
          </w:p>
          <w:p w14:paraId="10A8281B" w14:textId="1DBB5183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2) równy 3,0 dla przepustów i zaworów przeciwwybuchowych;</w:t>
            </w:r>
          </w:p>
          <w:p w14:paraId="1E174D5B" w14:textId="5D1670DF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3) równy 2,40 dla ścian nieosłoniętych gruntem;</w:t>
            </w:r>
          </w:p>
          <w:p w14:paraId="7EFF62B6" w14:textId="03AD6EBA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4) równy 0,70 dla elementów przelotni osłoniętych gruntem;</w:t>
            </w:r>
          </w:p>
          <w:p w14:paraId="529CF1AE" w14:textId="267AEB56" w:rsidR="00B865D3" w:rsidRPr="00AF5CD6" w:rsidRDefault="00B865D3" w:rsidP="005434F8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5) 1,70 dla stropu przelotni.</w:t>
            </w:r>
          </w:p>
          <w:p w14:paraId="5C63AC40" w14:textId="77777777" w:rsidR="00B865D3" w:rsidRPr="00AF5CD6" w:rsidRDefault="00B865D3" w:rsidP="00213F98">
            <w:pPr>
              <w:rPr>
                <w:rFonts w:ascii="Times" w:hAnsi="Times" w:cs="Times"/>
              </w:rPr>
            </w:pPr>
          </w:p>
          <w:p w14:paraId="37E74EC1" w14:textId="3A1E08BA" w:rsidR="00DE3B03" w:rsidRPr="00AF5CD6" w:rsidRDefault="00B865D3" w:rsidP="00E408A4">
            <w:pPr>
              <w:rPr>
                <w:rFonts w:ascii="Times" w:hAnsi="Times" w:cs="Times"/>
              </w:rPr>
            </w:pPr>
            <w:bookmarkStart w:id="2" w:name="_Hlk185713016"/>
            <w:r w:rsidRPr="00AF5CD6">
              <w:rPr>
                <w:rFonts w:ascii="Times" w:hAnsi="Times" w:cs="Times"/>
              </w:rPr>
              <w:t xml:space="preserve">3. Dotychczasowe budowle ochronne spełniające wymagania </w:t>
            </w:r>
            <w:r w:rsidR="00DE3B03" w:rsidRPr="00AF5CD6">
              <w:rPr>
                <w:rFonts w:ascii="Times" w:hAnsi="Times" w:cs="Times"/>
              </w:rPr>
              <w:t xml:space="preserve">odporności mechanicznej </w:t>
            </w:r>
            <w:r w:rsidRPr="00AF5CD6">
              <w:rPr>
                <w:rFonts w:ascii="Times" w:hAnsi="Times" w:cs="Times"/>
              </w:rPr>
              <w:t xml:space="preserve">dla schronów kategorii P na podstawie Wytycznych Szefa Obrony Cywilnej Kraju z 18 grudnia 2018 r. w sprawie zasad postępowania z zasobami budownictwa ochronnego uznaje się za spełniające wymagania </w:t>
            </w:r>
            <w:r w:rsidR="00B95E99" w:rsidRPr="00AF5CD6">
              <w:rPr>
                <w:rFonts w:ascii="Times" w:hAnsi="Times" w:cs="Times"/>
              </w:rPr>
              <w:t xml:space="preserve">odporności mechanicznej </w:t>
            </w:r>
            <w:r w:rsidRPr="00AF5CD6">
              <w:rPr>
                <w:rFonts w:ascii="Times" w:hAnsi="Times" w:cs="Times"/>
              </w:rPr>
              <w:t xml:space="preserve">schronów kategorii S-1. </w:t>
            </w:r>
          </w:p>
          <w:p w14:paraId="47D781F7" w14:textId="77777777" w:rsidR="00C67421" w:rsidRPr="00AF5CD6" w:rsidRDefault="00C67421" w:rsidP="00E408A4">
            <w:pPr>
              <w:rPr>
                <w:rFonts w:ascii="Times" w:hAnsi="Times" w:cs="Times"/>
              </w:rPr>
            </w:pPr>
          </w:p>
          <w:p w14:paraId="626BBFDA" w14:textId="624ABFC4" w:rsidR="00C67421" w:rsidRPr="00AF5CD6" w:rsidRDefault="00C67421" w:rsidP="00E408A4">
            <w:pPr>
              <w:rPr>
                <w:rFonts w:ascii="Times" w:hAnsi="Times" w:cs="Times"/>
              </w:rPr>
            </w:pPr>
            <w:r w:rsidRPr="00AF5CD6">
              <w:rPr>
                <w:rFonts w:ascii="Times" w:hAnsi="Times" w:cs="Times"/>
              </w:rPr>
              <w:t>4. W dotychczasowych budowlach ochronnych dopuszcza się użytkowanie drzwi i wyłazów ochronno-hermetycznych oraz automatycznych zaworów przeciwwybuchowych o wymiarach i parametrach zgodnych z Wytycznymi Szefa Obrony Cywilnej Kraju z 18 grudnia 2018 r. w sprawie zasad postępowania z zasobami budownictwa ochronnego.</w:t>
            </w:r>
          </w:p>
          <w:p w14:paraId="70F0C6BC" w14:textId="77777777" w:rsidR="00C67421" w:rsidRPr="00AF5CD6" w:rsidRDefault="00C67421" w:rsidP="00E408A4">
            <w:pPr>
              <w:rPr>
                <w:rFonts w:ascii="Times" w:hAnsi="Times" w:cs="Times"/>
              </w:rPr>
            </w:pPr>
          </w:p>
          <w:bookmarkEnd w:id="2"/>
          <w:p w14:paraId="2A2200D0" w14:textId="5116284C" w:rsidR="00B865D3" w:rsidRPr="00AF5CD6" w:rsidRDefault="00B865D3" w:rsidP="00E408A4">
            <w:pPr>
              <w:rPr>
                <w:rFonts w:ascii="Times" w:hAnsi="Times" w:cs="Times"/>
                <w:b/>
                <w:bCs/>
              </w:rPr>
            </w:pPr>
            <w:r w:rsidRPr="00AF5CD6">
              <w:rPr>
                <w:rFonts w:ascii="Times" w:hAnsi="Times" w:cs="Times"/>
                <w:b/>
                <w:bCs/>
              </w:rPr>
              <w:t>Uzasadnienie:</w:t>
            </w:r>
          </w:p>
          <w:p w14:paraId="336249BC" w14:textId="20977B06" w:rsidR="00B865D3" w:rsidRPr="00AF5CD6" w:rsidRDefault="00B865D3" w:rsidP="00213F98">
            <w:pPr>
              <w:rPr>
                <w:rFonts w:ascii="Times" w:hAnsi="Times" w:cs="Times"/>
                <w:bCs/>
              </w:rPr>
            </w:pPr>
            <w:r w:rsidRPr="00AF5CD6">
              <w:rPr>
                <w:rFonts w:ascii="Times" w:hAnsi="Times" w:cs="Times"/>
                <w:bCs/>
              </w:rPr>
              <w:t>Ust. 1 W ujęciu budownictwa ochronnego, ochrona przed długotrwałymi pożarami jest tożsama z ochroną przed skażeniami (konieczność hermetyzacji obiektu). Z kolei ochrona przed promieniowaniem wymaga zastosowania masywnych przegród, stąd uzasadnienie zmodyfikowania i doprecyzowania klasyfikacji</w:t>
            </w:r>
            <w:r w:rsidR="00DE3B03" w:rsidRPr="00AF5CD6">
              <w:rPr>
                <w:rFonts w:ascii="Times" w:hAnsi="Times" w:cs="Times"/>
                <w:bCs/>
              </w:rPr>
              <w:t xml:space="preserve">, tak aby była możliwa kwalifikacja prostych ukryć chroniących przed działaniem obciążeń wybuchowych, stosowanych np. aktualnie w bazach </w:t>
            </w:r>
            <w:proofErr w:type="spellStart"/>
            <w:r w:rsidR="00DE3B03" w:rsidRPr="00AF5CD6">
              <w:rPr>
                <w:rFonts w:ascii="Times" w:hAnsi="Times" w:cs="Times"/>
                <w:bCs/>
              </w:rPr>
              <w:t>US</w:t>
            </w:r>
            <w:proofErr w:type="spellEnd"/>
            <w:r w:rsidR="00DE3B03" w:rsidRPr="00AF5CD6">
              <w:rPr>
                <w:rFonts w:ascii="Times" w:hAnsi="Times" w:cs="Times"/>
                <w:bCs/>
              </w:rPr>
              <w:t xml:space="preserve"> </w:t>
            </w:r>
            <w:proofErr w:type="spellStart"/>
            <w:r w:rsidR="00DE3B03" w:rsidRPr="00AF5CD6">
              <w:rPr>
                <w:rFonts w:ascii="Times" w:hAnsi="Times" w:cs="Times"/>
                <w:bCs/>
              </w:rPr>
              <w:t>Army</w:t>
            </w:r>
            <w:proofErr w:type="spellEnd"/>
            <w:r w:rsidR="00DE3B03" w:rsidRPr="00AF5CD6">
              <w:rPr>
                <w:rFonts w:ascii="Times" w:hAnsi="Times" w:cs="Times"/>
                <w:bCs/>
              </w:rPr>
              <w:t xml:space="preserve">, Ukrainie czy </w:t>
            </w:r>
            <w:r w:rsidR="00B95E99" w:rsidRPr="00AF5CD6">
              <w:rPr>
                <w:rFonts w:ascii="Times" w:hAnsi="Times" w:cs="Times"/>
                <w:bCs/>
              </w:rPr>
              <w:t>Izraelu</w:t>
            </w:r>
            <w:r w:rsidR="00DE3B03" w:rsidRPr="00AF5CD6">
              <w:rPr>
                <w:rFonts w:ascii="Times" w:hAnsi="Times" w:cs="Times"/>
                <w:bCs/>
              </w:rPr>
              <w:t xml:space="preserve"> jako ukryć chroniących przed tymi oddziaływaniami. Aktualny zapis sprawia, że aby formalnie ukrycie chroniło przed obciążeniami wybuchowymi, musi jednocześnie posiadać masywne, często osłonięte ziemią przegrody. </w:t>
            </w:r>
          </w:p>
          <w:p w14:paraId="6B90CE8F" w14:textId="77777777" w:rsidR="00B865D3" w:rsidRPr="00AF5CD6" w:rsidRDefault="00B865D3" w:rsidP="00213F98">
            <w:pPr>
              <w:rPr>
                <w:rFonts w:ascii="Times" w:hAnsi="Times" w:cs="Times"/>
                <w:bCs/>
              </w:rPr>
            </w:pPr>
          </w:p>
          <w:p w14:paraId="21A1FEA3" w14:textId="46171353" w:rsidR="00B865D3" w:rsidRPr="00AF5CD6" w:rsidRDefault="00B865D3" w:rsidP="00213F98">
            <w:pPr>
              <w:rPr>
                <w:rFonts w:ascii="Times" w:hAnsi="Times" w:cs="Times"/>
                <w:bCs/>
              </w:rPr>
            </w:pPr>
            <w:r w:rsidRPr="00AF5CD6">
              <w:rPr>
                <w:rFonts w:ascii="Times" w:hAnsi="Times" w:cs="Times"/>
                <w:bCs/>
              </w:rPr>
              <w:t>Ust. 2. Konieczne jest uwzględnienie oddziaływania fali odbitej oraz współczynników zwiększających i zmniejszających dla poszczególnych, mniej lub bardziej narażonych elementów budowli ochronnej, ponieważ mają one istotny wpływ na rozpatrywaną klasę odporności całego obiektu.</w:t>
            </w:r>
            <w:r w:rsidR="00DE3B03" w:rsidRPr="00AF5CD6">
              <w:rPr>
                <w:rFonts w:ascii="Times" w:hAnsi="Times" w:cs="Times"/>
                <w:bCs/>
              </w:rPr>
              <w:t xml:space="preserve"> Współczynniki przyjęto na bazie rozporządzenia fińskiego MSW nr </w:t>
            </w:r>
            <w:r w:rsidR="00B95E99" w:rsidRPr="00AF5CD6">
              <w:rPr>
                <w:rFonts w:ascii="Times" w:hAnsi="Times" w:cs="Times"/>
                <w:bCs/>
              </w:rPr>
              <w:t>409/2011 oraz wytycznych szwajcarskich TWK2017.</w:t>
            </w:r>
          </w:p>
          <w:p w14:paraId="17235659" w14:textId="77777777" w:rsidR="00B865D3" w:rsidRPr="00AF5CD6" w:rsidRDefault="00B865D3" w:rsidP="00213F98">
            <w:pPr>
              <w:rPr>
                <w:rFonts w:ascii="Times" w:hAnsi="Times" w:cs="Times"/>
                <w:bCs/>
              </w:rPr>
            </w:pPr>
          </w:p>
          <w:p w14:paraId="5FC70638" w14:textId="64E2AB11" w:rsidR="00B865D3" w:rsidRPr="00AF5CD6" w:rsidRDefault="00145DFE" w:rsidP="6C4EE58F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>Ust. 3</w:t>
            </w:r>
            <w:r w:rsidR="007A0A99" w:rsidRPr="39DCFF2A">
              <w:rPr>
                <w:rFonts w:ascii="Times" w:hAnsi="Times" w:cs="Times"/>
              </w:rPr>
              <w:t xml:space="preserve">. </w:t>
            </w:r>
            <w:r w:rsidR="00877953" w:rsidRPr="39DCFF2A">
              <w:rPr>
                <w:rFonts w:ascii="Times" w:hAnsi="Times" w:cs="Times"/>
              </w:rPr>
              <w:t>Zaledwie 3</w:t>
            </w:r>
            <w:r w:rsidR="00531D97" w:rsidRPr="39DCFF2A">
              <w:rPr>
                <w:rFonts w:ascii="Times" w:hAnsi="Times" w:cs="Times"/>
              </w:rPr>
              <w:t>4</w:t>
            </w:r>
            <w:r w:rsidR="00877953" w:rsidRPr="39DCFF2A">
              <w:rPr>
                <w:rFonts w:ascii="Times" w:hAnsi="Times" w:cs="Times"/>
              </w:rPr>
              <w:t>% dotychczasowych schronów powstałych w czasach Układu Warszawskiego</w:t>
            </w:r>
            <w:r w:rsidR="00531D97" w:rsidRPr="39DCFF2A">
              <w:rPr>
                <w:rFonts w:ascii="Times" w:hAnsi="Times" w:cs="Times"/>
              </w:rPr>
              <w:t xml:space="preserve"> </w:t>
            </w:r>
            <w:r w:rsidR="00877953" w:rsidRPr="39DCFF2A">
              <w:rPr>
                <w:rFonts w:ascii="Times" w:hAnsi="Times" w:cs="Times"/>
              </w:rPr>
              <w:t xml:space="preserve">spełnia </w:t>
            </w:r>
            <w:r w:rsidR="00531D97" w:rsidRPr="39DCFF2A">
              <w:rPr>
                <w:rFonts w:ascii="Times" w:hAnsi="Times" w:cs="Times"/>
              </w:rPr>
              <w:t>kryteria odporności</w:t>
            </w:r>
            <w:r w:rsidR="00877953" w:rsidRPr="39DCFF2A">
              <w:rPr>
                <w:rFonts w:ascii="Times" w:hAnsi="Times" w:cs="Times"/>
              </w:rPr>
              <w:t xml:space="preserve"> dla schronów kategorii S-1. </w:t>
            </w:r>
            <w:r w:rsidR="00531D97" w:rsidRPr="39DCFF2A">
              <w:rPr>
                <w:rFonts w:ascii="Times" w:hAnsi="Times" w:cs="Times"/>
              </w:rPr>
              <w:t>W</w:t>
            </w:r>
            <w:r w:rsidR="00877953" w:rsidRPr="39DCFF2A">
              <w:rPr>
                <w:rFonts w:ascii="Times" w:hAnsi="Times" w:cs="Times"/>
              </w:rPr>
              <w:t>iększość dotychczas zbudowanych schronów zabezpiecza przed oddziaływaniem fali uderzeniowej wywołującej obciążenie quasi-statyczne o wartości 60-9</w:t>
            </w:r>
            <w:r w:rsidR="00531D97" w:rsidRPr="39DCFF2A">
              <w:rPr>
                <w:rFonts w:ascii="Times" w:hAnsi="Times" w:cs="Times"/>
              </w:rPr>
              <w:t>9</w:t>
            </w:r>
            <w:r w:rsidR="00877953" w:rsidRPr="39DCFF2A">
              <w:rPr>
                <w:rFonts w:ascii="Times" w:hAnsi="Times" w:cs="Times"/>
              </w:rPr>
              <w:t xml:space="preserve"> </w:t>
            </w:r>
            <w:proofErr w:type="spellStart"/>
            <w:r w:rsidR="00877953" w:rsidRPr="39DCFF2A">
              <w:rPr>
                <w:rFonts w:ascii="Times" w:hAnsi="Times" w:cs="Times"/>
              </w:rPr>
              <w:t>kN</w:t>
            </w:r>
            <w:proofErr w:type="spellEnd"/>
            <w:r w:rsidR="00877953" w:rsidRPr="39DCFF2A">
              <w:rPr>
                <w:rFonts w:ascii="Times" w:hAnsi="Times" w:cs="Times"/>
              </w:rPr>
              <w:t>/m</w:t>
            </w:r>
            <w:r w:rsidR="00877953" w:rsidRPr="39DCFF2A">
              <w:rPr>
                <w:rFonts w:ascii="Times" w:hAnsi="Times" w:cs="Times"/>
                <w:vertAlign w:val="superscript"/>
              </w:rPr>
              <w:t>2</w:t>
            </w:r>
            <w:r w:rsidR="00531D97" w:rsidRPr="39DCFF2A">
              <w:rPr>
                <w:rFonts w:ascii="Times" w:hAnsi="Times" w:cs="Times"/>
              </w:rPr>
              <w:t xml:space="preserve">, przy czym zostały zaprojektowane jako budowle ochronne o konstrukcji zamkniętej i hermetycznej, często wyposażonej w </w:t>
            </w:r>
            <w:proofErr w:type="spellStart"/>
            <w:r w:rsidR="00531D97" w:rsidRPr="39DCFF2A">
              <w:rPr>
                <w:rFonts w:ascii="Times" w:hAnsi="Times" w:cs="Times"/>
              </w:rPr>
              <w:t>AZP</w:t>
            </w:r>
            <w:proofErr w:type="spellEnd"/>
            <w:r w:rsidR="00531D97" w:rsidRPr="39DCFF2A">
              <w:rPr>
                <w:rFonts w:ascii="Times" w:hAnsi="Times" w:cs="Times"/>
              </w:rPr>
              <w:t>.</w:t>
            </w:r>
            <w:r w:rsidR="31B454E4" w:rsidRPr="39DCFF2A">
              <w:rPr>
                <w:rFonts w:ascii="Times" w:hAnsi="Times" w:cs="Times"/>
              </w:rPr>
              <w:t xml:space="preserve"> Analiza wskazuje, że stosowanie </w:t>
            </w:r>
            <w:r w:rsidR="00531D97" w:rsidRPr="39DCFF2A">
              <w:rPr>
                <w:rFonts w:ascii="Times" w:hAnsi="Times" w:cs="Times"/>
              </w:rPr>
              <w:t>podwyższonych wymagań odpornościowych jest zasadne w przypadku nowo powstających budowli ochronnych, natomiast budowle ochronne spełniające</w:t>
            </w:r>
            <w:r w:rsidR="00C46F5B" w:rsidRPr="39DCFF2A">
              <w:rPr>
                <w:rFonts w:ascii="Times" w:hAnsi="Times" w:cs="Times"/>
              </w:rPr>
              <w:t xml:space="preserve"> dotychczasowe</w:t>
            </w:r>
            <w:r w:rsidR="00531D97" w:rsidRPr="39DCFF2A">
              <w:rPr>
                <w:rFonts w:ascii="Times" w:hAnsi="Times" w:cs="Times"/>
              </w:rPr>
              <w:t xml:space="preserve"> wymagania</w:t>
            </w:r>
            <w:r w:rsidR="00C46F5B" w:rsidRPr="39DCFF2A">
              <w:rPr>
                <w:rFonts w:ascii="Times" w:hAnsi="Times" w:cs="Times"/>
              </w:rPr>
              <w:t xml:space="preserve"> dla schronów powinno być zakwalifikowane do kategorii S-1.</w:t>
            </w:r>
            <w:r w:rsidR="00B95E99" w:rsidRPr="39DCFF2A">
              <w:rPr>
                <w:rFonts w:ascii="Times" w:hAnsi="Times" w:cs="Times"/>
              </w:rPr>
              <w:t xml:space="preserve"> W innym przypadku istniejące schrony, zapewniające ochronę przed skażeniami będą klasyfikowane jako ukrycia, co pozwoli na demontaż urządzeń filtrowentylacyjnych, a finalnie obniżenie liczbę obiektów chroniących przed skażeniami.</w:t>
            </w:r>
          </w:p>
          <w:p w14:paraId="39460F7E" w14:textId="77777777" w:rsidR="00C67421" w:rsidRPr="00AF5CD6" w:rsidRDefault="00C67421" w:rsidP="00213F98">
            <w:pPr>
              <w:rPr>
                <w:rFonts w:ascii="Times" w:hAnsi="Times" w:cs="Times"/>
                <w:bCs/>
              </w:rPr>
            </w:pPr>
          </w:p>
          <w:p w14:paraId="09384245" w14:textId="693B3DFE" w:rsidR="00C67421" w:rsidRPr="00107B4A" w:rsidRDefault="00C67421" w:rsidP="6C4EE58F">
            <w:pPr>
              <w:rPr>
                <w:rFonts w:ascii="Times" w:hAnsi="Times" w:cs="Times"/>
              </w:rPr>
            </w:pPr>
            <w:r w:rsidRPr="39DCFF2A">
              <w:rPr>
                <w:rFonts w:ascii="Times" w:hAnsi="Times" w:cs="Times"/>
              </w:rPr>
              <w:t>Ust. 4 W dotychczasowych budowlach ochronnych stosowano drzwi o wymiary 80x180 osadzone w konstrukcji nośnej, których wymiana jest często niemożliwa ze względów technicznych lub nieuzasadniona ekonomicznie. Analogiczna sytuacja dotyczy zaworów.</w:t>
            </w:r>
          </w:p>
        </w:tc>
      </w:tr>
    </w:tbl>
    <w:p w14:paraId="15CA922F" w14:textId="77777777" w:rsidR="004417E8" w:rsidRPr="00107B4A" w:rsidRDefault="004417E8" w:rsidP="004417E8">
      <w:pPr>
        <w:rPr>
          <w:rFonts w:ascii="Times" w:hAnsi="Times" w:cs="Times"/>
        </w:rPr>
      </w:pPr>
    </w:p>
    <w:p w14:paraId="1D884160" w14:textId="77777777" w:rsidR="00EB3771" w:rsidRPr="00107B4A" w:rsidRDefault="00EB3771" w:rsidP="004417E8">
      <w:pPr>
        <w:rPr>
          <w:rFonts w:ascii="Times" w:hAnsi="Times" w:cs="Times"/>
        </w:rPr>
      </w:pPr>
    </w:p>
    <w:sectPr w:rsidR="00EB3771" w:rsidRPr="00107B4A" w:rsidSect="004417E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265A"/>
    <w:multiLevelType w:val="hybridMultilevel"/>
    <w:tmpl w:val="17AA28E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E8"/>
    <w:rsid w:val="00023A2F"/>
    <w:rsid w:val="00036778"/>
    <w:rsid w:val="0004133B"/>
    <w:rsid w:val="000774D1"/>
    <w:rsid w:val="000C4A29"/>
    <w:rsid w:val="00107B4A"/>
    <w:rsid w:val="00145DFE"/>
    <w:rsid w:val="0020306E"/>
    <w:rsid w:val="00213F98"/>
    <w:rsid w:val="0025039E"/>
    <w:rsid w:val="002647D6"/>
    <w:rsid w:val="00300855"/>
    <w:rsid w:val="00345BAE"/>
    <w:rsid w:val="003C264E"/>
    <w:rsid w:val="003D4DBE"/>
    <w:rsid w:val="003E162F"/>
    <w:rsid w:val="004102DD"/>
    <w:rsid w:val="004417E8"/>
    <w:rsid w:val="00465DF3"/>
    <w:rsid w:val="004D326C"/>
    <w:rsid w:val="004F3E45"/>
    <w:rsid w:val="00531D97"/>
    <w:rsid w:val="005434F8"/>
    <w:rsid w:val="00551CD2"/>
    <w:rsid w:val="00571212"/>
    <w:rsid w:val="00586376"/>
    <w:rsid w:val="00586B1D"/>
    <w:rsid w:val="0060734B"/>
    <w:rsid w:val="0064775B"/>
    <w:rsid w:val="00667F87"/>
    <w:rsid w:val="00683D14"/>
    <w:rsid w:val="006D0A04"/>
    <w:rsid w:val="007440A7"/>
    <w:rsid w:val="00750E41"/>
    <w:rsid w:val="00793C6D"/>
    <w:rsid w:val="007A0A99"/>
    <w:rsid w:val="007A63D3"/>
    <w:rsid w:val="00877953"/>
    <w:rsid w:val="00894B23"/>
    <w:rsid w:val="008A3125"/>
    <w:rsid w:val="008D505A"/>
    <w:rsid w:val="008E2783"/>
    <w:rsid w:val="00990CCF"/>
    <w:rsid w:val="009A2C14"/>
    <w:rsid w:val="009C51CD"/>
    <w:rsid w:val="009E37F3"/>
    <w:rsid w:val="00A96FEE"/>
    <w:rsid w:val="00AA3FEA"/>
    <w:rsid w:val="00AC0E35"/>
    <w:rsid w:val="00AF5CD6"/>
    <w:rsid w:val="00B865D3"/>
    <w:rsid w:val="00B95E99"/>
    <w:rsid w:val="00BA5E70"/>
    <w:rsid w:val="00C05F6C"/>
    <w:rsid w:val="00C46F5B"/>
    <w:rsid w:val="00C56EDA"/>
    <w:rsid w:val="00C67421"/>
    <w:rsid w:val="00DE3B03"/>
    <w:rsid w:val="00DF3771"/>
    <w:rsid w:val="00E408A4"/>
    <w:rsid w:val="00E430D2"/>
    <w:rsid w:val="00E50D45"/>
    <w:rsid w:val="00E66399"/>
    <w:rsid w:val="00E85F61"/>
    <w:rsid w:val="00EB3771"/>
    <w:rsid w:val="00EC5897"/>
    <w:rsid w:val="00EC7BA8"/>
    <w:rsid w:val="00EE7EBB"/>
    <w:rsid w:val="00EF7CA2"/>
    <w:rsid w:val="00F04354"/>
    <w:rsid w:val="00F22716"/>
    <w:rsid w:val="00F46A0F"/>
    <w:rsid w:val="06472A85"/>
    <w:rsid w:val="0B1838A5"/>
    <w:rsid w:val="0B57E060"/>
    <w:rsid w:val="1636B048"/>
    <w:rsid w:val="1FC3BA01"/>
    <w:rsid w:val="2047CB95"/>
    <w:rsid w:val="23F2426B"/>
    <w:rsid w:val="25E5E627"/>
    <w:rsid w:val="2AFCAE4A"/>
    <w:rsid w:val="2FDEA3B2"/>
    <w:rsid w:val="31B454E4"/>
    <w:rsid w:val="31C02D0B"/>
    <w:rsid w:val="32AE01F3"/>
    <w:rsid w:val="355AA64C"/>
    <w:rsid w:val="39DCFF2A"/>
    <w:rsid w:val="3A161669"/>
    <w:rsid w:val="3BD87136"/>
    <w:rsid w:val="3F2C2EFC"/>
    <w:rsid w:val="421E4D7A"/>
    <w:rsid w:val="4243F848"/>
    <w:rsid w:val="452E07C0"/>
    <w:rsid w:val="4F286A0E"/>
    <w:rsid w:val="509AB8D7"/>
    <w:rsid w:val="514FBB1F"/>
    <w:rsid w:val="532BE241"/>
    <w:rsid w:val="64E47DE2"/>
    <w:rsid w:val="6579ECA1"/>
    <w:rsid w:val="6C4EE58F"/>
    <w:rsid w:val="706FFCD3"/>
    <w:rsid w:val="715DB616"/>
    <w:rsid w:val="72E410B3"/>
    <w:rsid w:val="779BDE6A"/>
    <w:rsid w:val="7A4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39A"/>
  <w15:chartTrackingRefBased/>
  <w15:docId w15:val="{532B5E80-6677-4FB4-9EDA-85FE2B4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7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7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7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7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7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7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7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7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7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7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7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7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7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7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7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417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417E8"/>
    <w:pPr>
      <w:widowControl w:val="0"/>
      <w:suppressLineNumbers/>
    </w:pPr>
  </w:style>
  <w:style w:type="paragraph" w:customStyle="1" w:styleId="ARTartustawynprozporzdzenia">
    <w:name w:val="ART(§) – art. ustawy (§ np. rozporządzenia)"/>
    <w:uiPriority w:val="11"/>
    <w:qFormat/>
    <w:rsid w:val="004417E8"/>
    <w:pPr>
      <w:suppressAutoHyphens/>
      <w:autoSpaceDN w:val="0"/>
      <w:spacing w:before="120" w:after="0" w:line="360" w:lineRule="auto"/>
      <w:ind w:firstLine="510"/>
      <w:jc w:val="both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  <w14:ligatures w14:val="none"/>
    </w:rPr>
  </w:style>
  <w:style w:type="paragraph" w:customStyle="1" w:styleId="USTustnpkodeksu">
    <w:name w:val="UST(§) – ust. (§ np. kodeksu)"/>
    <w:basedOn w:val="ARTartustawynprozporzdzenia"/>
    <w:rsid w:val="004417E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4417E8"/>
    <w:pPr>
      <w:suppressAutoHyphens/>
      <w:autoSpaceDN w:val="0"/>
      <w:spacing w:after="0" w:line="360" w:lineRule="auto"/>
      <w:ind w:left="510" w:hanging="510"/>
      <w:jc w:val="both"/>
      <w:textAlignment w:val="baseline"/>
    </w:pPr>
    <w:rPr>
      <w:rFonts w:ascii="Liberation Serif" w:eastAsia="NSimSun" w:hAnsi="Liberation Serif" w:cs="Arial"/>
      <w:bCs/>
      <w:kern w:val="3"/>
      <w:sz w:val="24"/>
      <w:szCs w:val="20"/>
      <w:lang w:eastAsia="zh-CN" w:bidi="hi-IN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4417E8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278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2783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783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3D4DBE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ce914-57c0-433a-8e30-63ab4e619778">
      <Terms xmlns="http://schemas.microsoft.com/office/infopath/2007/PartnerControls"/>
    </lcf76f155ced4ddcb4097134ff3c332f>
    <TaxCatchAll xmlns="2ab968a6-c0c3-40b2-b2c4-462f482484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1CE06DE806D4CA0F68F79BA6DA8CC" ma:contentTypeVersion="12" ma:contentTypeDescription="Utwórz nowy dokument." ma:contentTypeScope="" ma:versionID="7cf6ebb3ae3a9deb01b117560d08bf58">
  <xsd:schema xmlns:xsd="http://www.w3.org/2001/XMLSchema" xmlns:xs="http://www.w3.org/2001/XMLSchema" xmlns:p="http://schemas.microsoft.com/office/2006/metadata/properties" xmlns:ns2="6d6ce914-57c0-433a-8e30-63ab4e619778" xmlns:ns3="2ab968a6-c0c3-40b2-b2c4-462f48248466" targetNamespace="http://schemas.microsoft.com/office/2006/metadata/properties" ma:root="true" ma:fieldsID="9bc6a161ecb65e72fbcc98fc08df4750" ns2:_="" ns3:_="">
    <xsd:import namespace="6d6ce914-57c0-433a-8e30-63ab4e619778"/>
    <xsd:import namespace="2ab968a6-c0c3-40b2-b2c4-462f48248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ce914-57c0-433a-8e30-63ab4e619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968a6-c0c3-40b2-b2c4-462f482484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0d8ee-fc01-4bed-8bd3-5b0b6b172051}" ma:internalName="TaxCatchAll" ma:showField="CatchAllData" ma:web="2ab968a6-c0c3-40b2-b2c4-462f48248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9E579-67A7-479F-9B36-B550D1DD6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E8512-A5F0-473F-8C5B-D9DC8729D736}">
  <ds:schemaRefs>
    <ds:schemaRef ds:uri="http://schemas.microsoft.com/office/2006/metadata/properties"/>
    <ds:schemaRef ds:uri="http://schemas.microsoft.com/office/infopath/2007/PartnerControls"/>
    <ds:schemaRef ds:uri="6d6ce914-57c0-433a-8e30-63ab4e619778"/>
    <ds:schemaRef ds:uri="2ab968a6-c0c3-40b2-b2c4-462f48248466"/>
  </ds:schemaRefs>
</ds:datastoreItem>
</file>

<file path=customXml/itemProps3.xml><?xml version="1.0" encoding="utf-8"?>
<ds:datastoreItem xmlns:ds="http://schemas.openxmlformats.org/officeDocument/2006/customXml" ds:itemID="{B1CD4100-CA94-446E-B3BD-4E5CAA01E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82B98-C1B5-4E9B-913B-5A2328A2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ce914-57c0-433a-8e30-63ab4e619778"/>
    <ds:schemaRef ds:uri="2ab968a6-c0c3-40b2-b2c4-462f48248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3081</Words>
  <Characters>18490</Characters>
  <Application>Microsoft Office Word</Application>
  <DocSecurity>0</DocSecurity>
  <Lines>154</Lines>
  <Paragraphs>43</Paragraphs>
  <ScaleCrop>false</ScaleCrop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 Wołoch</dc:creator>
  <cp:keywords/>
  <dc:description/>
  <cp:lastModifiedBy>Agnieszka Kalinowska</cp:lastModifiedBy>
  <cp:revision>2</cp:revision>
  <cp:lastPrinted>2024-12-21T20:44:00Z</cp:lastPrinted>
  <dcterms:created xsi:type="dcterms:W3CDTF">2025-01-07T09:01:00Z</dcterms:created>
  <dcterms:modified xsi:type="dcterms:W3CDTF">2025-01-07T09:01:00Z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0x0101005D51CE06DE806D4CA0F68F79BA6DA8CC</vt:lpwstr>
  </property>
  <property fmtid="{D5CDD505-2E9C-101B-9397-08002B2CF9AE}" pid="3" name="MediaServiceImageTags">
    <vt:lpwstr/>
  </property>
</Properties>
</file>